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77" w:rsidRPr="00FE5A4E" w:rsidRDefault="00F81ADA">
      <w:pPr>
        <w:rPr>
          <w:rFonts w:ascii="Times New Roman" w:hAnsi="Times New Roman" w:cs="Times New Roman"/>
        </w:rPr>
      </w:pPr>
      <w:r>
        <w:rPr>
          <w:rFonts w:ascii="Times New Roman" w:hAnsi="Times New Roman" w:cs="Times New Roman"/>
        </w:rPr>
        <w:t xml:space="preserve">This course is designed to refine the lesson planning, curricular design skills, and assessment implementation for Single Subject candidates as they take their last methods course for this program.  The various assignments all cohere around the construction of a 4-week curriculum unit project in candidates’ subject areas.  Various readings are selected for this course, most of which can be found by searching through </w:t>
      </w:r>
      <w:proofErr w:type="spellStart"/>
      <w:r>
        <w:rPr>
          <w:rFonts w:ascii="Times New Roman" w:hAnsi="Times New Roman" w:cs="Times New Roman"/>
        </w:rPr>
        <w:t>Armacost</w:t>
      </w:r>
      <w:proofErr w:type="spellEnd"/>
      <w:r>
        <w:rPr>
          <w:rFonts w:ascii="Times New Roman" w:hAnsi="Times New Roman" w:cs="Times New Roman"/>
        </w:rPr>
        <w:t xml:space="preserve"> Library’s Education Research Complete link according to the first few words of the title of the article.</w:t>
      </w:r>
    </w:p>
    <w:p w:rsidR="00FE5A4E" w:rsidRPr="00FE5A4E" w:rsidRDefault="00FE5A4E">
      <w:pPr>
        <w:rPr>
          <w:rFonts w:ascii="Times New Roman" w:hAnsi="Times New Roman" w:cs="Times New Roman"/>
        </w:rPr>
      </w:pPr>
    </w:p>
    <w:p w:rsidR="00FE5A4E" w:rsidRPr="00FE5A4E" w:rsidRDefault="00FE5A4E">
      <w:pPr>
        <w:rPr>
          <w:rFonts w:ascii="Times New Roman" w:hAnsi="Times New Roman" w:cs="Times New Roman"/>
          <w:b/>
        </w:rPr>
      </w:pPr>
      <w:r w:rsidRPr="00FE5A4E">
        <w:rPr>
          <w:rFonts w:ascii="Times New Roman" w:hAnsi="Times New Roman" w:cs="Times New Roman"/>
          <w:b/>
        </w:rPr>
        <w:t>Semester Two</w:t>
      </w:r>
    </w:p>
    <w:tbl>
      <w:tblPr>
        <w:tblStyle w:val="TableGrid"/>
        <w:tblW w:w="0" w:type="auto"/>
        <w:tblLook w:val="04A0" w:firstRow="1" w:lastRow="0" w:firstColumn="1" w:lastColumn="0" w:noHBand="0" w:noVBand="1"/>
      </w:tblPr>
      <w:tblGrid>
        <w:gridCol w:w="4675"/>
        <w:gridCol w:w="4675"/>
      </w:tblGrid>
      <w:tr w:rsidR="00FE5A4E" w:rsidRPr="00FE5A4E" w:rsidTr="00FE5A4E">
        <w:tc>
          <w:tcPr>
            <w:tcW w:w="4675" w:type="dxa"/>
          </w:tcPr>
          <w:p w:rsidR="00FE5A4E" w:rsidRPr="00F81ADA" w:rsidRDefault="00FE5A4E" w:rsidP="00FE5A4E">
            <w:pPr>
              <w:rPr>
                <w:rFonts w:ascii="Times New Roman" w:eastAsia="Times New Roman" w:hAnsi="Times New Roman" w:cs="Times New Roman"/>
                <w:bCs/>
                <w:color w:val="000000"/>
                <w:sz w:val="20"/>
                <w:szCs w:val="20"/>
                <w:shd w:val="clear" w:color="auto" w:fill="FFFFFF"/>
              </w:rPr>
            </w:pPr>
            <w:r w:rsidRPr="00F81ADA">
              <w:rPr>
                <w:rFonts w:ascii="Times New Roman" w:eastAsia="Times New Roman" w:hAnsi="Times New Roman" w:cs="Times New Roman"/>
                <w:bCs/>
                <w:color w:val="000000"/>
                <w:sz w:val="20"/>
                <w:szCs w:val="20"/>
                <w:shd w:val="clear" w:color="auto" w:fill="FFFFFF"/>
              </w:rPr>
              <w:t>MALT 611 Foundations of Literacies</w:t>
            </w:r>
          </w:p>
        </w:tc>
        <w:tc>
          <w:tcPr>
            <w:tcW w:w="4675" w:type="dxa"/>
          </w:tcPr>
          <w:p w:rsidR="00FE5A4E" w:rsidRPr="00F81ADA" w:rsidRDefault="00F81ADA" w:rsidP="00FE5A4E">
            <w:pPr>
              <w:rPr>
                <w:rFonts w:ascii="Times New Roman" w:eastAsia="Times New Roman" w:hAnsi="Times New Roman" w:cs="Times New Roman"/>
                <w:bCs/>
                <w:color w:val="000000"/>
                <w:sz w:val="20"/>
                <w:szCs w:val="20"/>
                <w:shd w:val="clear" w:color="auto" w:fill="FFFFFF"/>
              </w:rPr>
            </w:pPr>
            <w:r w:rsidRPr="00F81ADA">
              <w:rPr>
                <w:rFonts w:ascii="Times New Roman" w:eastAsia="Times New Roman" w:hAnsi="Times New Roman" w:cs="Times New Roman"/>
                <w:bCs/>
                <w:color w:val="000000"/>
                <w:sz w:val="20"/>
                <w:szCs w:val="20"/>
                <w:shd w:val="clear" w:color="auto" w:fill="FFFFFF"/>
              </w:rPr>
              <w:t>MALT 611 Foundations of Literacies</w:t>
            </w:r>
          </w:p>
        </w:tc>
      </w:tr>
      <w:tr w:rsidR="00FE5A4E" w:rsidRPr="00FE5A4E" w:rsidTr="00FE5A4E">
        <w:tc>
          <w:tcPr>
            <w:tcW w:w="4675" w:type="dxa"/>
          </w:tcPr>
          <w:p w:rsidR="00FE5A4E" w:rsidRPr="00F81ADA" w:rsidRDefault="00F81ADA" w:rsidP="00FE5A4E">
            <w:pPr>
              <w:rPr>
                <w:rFonts w:ascii="Times New Roman" w:eastAsia="Times New Roman" w:hAnsi="Times New Roman" w:cs="Times New Roman"/>
                <w:bCs/>
                <w:color w:val="000000"/>
                <w:sz w:val="20"/>
                <w:szCs w:val="20"/>
                <w:shd w:val="clear" w:color="auto" w:fill="FFFFFF"/>
              </w:rPr>
            </w:pPr>
            <w:r w:rsidRPr="00F81ADA">
              <w:rPr>
                <w:rFonts w:ascii="Times New Roman" w:eastAsia="Times New Roman" w:hAnsi="Times New Roman" w:cs="Times New Roman"/>
                <w:bCs/>
                <w:color w:val="000000"/>
                <w:sz w:val="20"/>
                <w:szCs w:val="20"/>
                <w:shd w:val="clear" w:color="auto" w:fill="FFFFFF"/>
              </w:rPr>
              <w:t xml:space="preserve">MALT 606: </w:t>
            </w:r>
            <w:r w:rsidRPr="00F81ADA">
              <w:rPr>
                <w:rFonts w:ascii="Times New Roman" w:hAnsi="Times New Roman" w:cs="Times New Roman"/>
                <w:color w:val="000000"/>
                <w:sz w:val="20"/>
                <w:szCs w:val="20"/>
              </w:rPr>
              <w:t>Single Subject Methods III: Content Area Teaching</w:t>
            </w:r>
          </w:p>
        </w:tc>
        <w:tc>
          <w:tcPr>
            <w:tcW w:w="4675" w:type="dxa"/>
          </w:tcPr>
          <w:p w:rsidR="00FE5A4E" w:rsidRPr="00F81ADA" w:rsidRDefault="00F81ADA" w:rsidP="00FE5A4E">
            <w:pPr>
              <w:rPr>
                <w:rFonts w:ascii="Times New Roman" w:eastAsia="Times New Roman" w:hAnsi="Times New Roman" w:cs="Times New Roman"/>
                <w:bCs/>
                <w:color w:val="000000"/>
                <w:sz w:val="20"/>
                <w:szCs w:val="20"/>
                <w:shd w:val="clear" w:color="auto" w:fill="FFFFFF"/>
              </w:rPr>
            </w:pPr>
            <w:r w:rsidRPr="00F81ADA">
              <w:rPr>
                <w:rFonts w:ascii="Times New Roman" w:eastAsia="Times New Roman" w:hAnsi="Times New Roman" w:cs="Times New Roman"/>
                <w:bCs/>
                <w:color w:val="000000"/>
                <w:sz w:val="20"/>
                <w:szCs w:val="20"/>
                <w:shd w:val="clear" w:color="auto" w:fill="FFFFFF"/>
              </w:rPr>
              <w:t xml:space="preserve">MALT 608: </w:t>
            </w:r>
            <w:r>
              <w:rPr>
                <w:rFonts w:ascii="Times New Roman" w:eastAsia="Times New Roman" w:hAnsi="Times New Roman" w:cs="Times New Roman"/>
                <w:bCs/>
                <w:color w:val="000000"/>
                <w:sz w:val="20"/>
                <w:szCs w:val="20"/>
                <w:shd w:val="clear" w:color="auto" w:fill="FFFFFF"/>
              </w:rPr>
              <w:t>Single Subject Literacy Methods IV: Content Area Literacy and Assessment</w:t>
            </w:r>
          </w:p>
        </w:tc>
      </w:tr>
    </w:tbl>
    <w:p w:rsidR="00FE5A4E" w:rsidRPr="00FE5A4E" w:rsidRDefault="00FE5A4E" w:rsidP="00FE5A4E">
      <w:pPr>
        <w:rPr>
          <w:rFonts w:ascii="Times New Roman" w:eastAsia="Times New Roman" w:hAnsi="Times New Roman" w:cs="Times New Roman"/>
          <w:b/>
          <w:bCs/>
          <w:color w:val="000000"/>
          <w:shd w:val="clear" w:color="auto" w:fill="FFFFFF"/>
        </w:rPr>
      </w:pPr>
    </w:p>
    <w:p w:rsidR="00FE5A4E" w:rsidRPr="00FE5A4E" w:rsidRDefault="00FE5A4E" w:rsidP="00FE5A4E">
      <w:pPr>
        <w:rPr>
          <w:rFonts w:ascii="Times New Roman" w:eastAsia="Times New Roman" w:hAnsi="Times New Roman" w:cs="Times New Roman"/>
          <w:b/>
          <w:bCs/>
          <w:color w:val="000000"/>
          <w:shd w:val="clear" w:color="auto" w:fill="FFFFFF"/>
        </w:rPr>
      </w:pPr>
    </w:p>
    <w:p w:rsidR="00FE5A4E" w:rsidRPr="00FE5A4E" w:rsidRDefault="00FE5A4E" w:rsidP="00FE5A4E">
      <w:pPr>
        <w:rPr>
          <w:rFonts w:ascii="Times New Roman" w:eastAsia="Times New Roman" w:hAnsi="Times New Roman" w:cs="Times New Roman"/>
        </w:rPr>
      </w:pPr>
      <w:r w:rsidRPr="00FE5A4E">
        <w:rPr>
          <w:rFonts w:ascii="Times New Roman" w:eastAsia="Times New Roman" w:hAnsi="Times New Roman" w:cs="Times New Roman"/>
          <w:b/>
          <w:bCs/>
          <w:color w:val="000000"/>
          <w:shd w:val="clear" w:color="auto" w:fill="FFFFFF"/>
        </w:rPr>
        <w:t>Note: A total of 40 hours of early fieldwork experiences are to be completed within this program across the first two semesters. Five hours of fieldwork will be completed in this MALT 608 methods course and ten hours will be completed in the Foundations of Literacies course.</w:t>
      </w:r>
      <w:r w:rsidRPr="00FE5A4E">
        <w:rPr>
          <w:rFonts w:ascii="Times New Roman" w:eastAsia="Times New Roman" w:hAnsi="Times New Roman" w:cs="Times New Roman"/>
          <w:color w:val="000000"/>
          <w:shd w:val="clear" w:color="auto" w:fill="FFFFFF"/>
        </w:rPr>
        <w:t> </w:t>
      </w:r>
    </w:p>
    <w:p w:rsidR="00FE5A4E" w:rsidRDefault="00FE5A4E">
      <w:pPr>
        <w:rPr>
          <w:rFonts w:ascii="Times New Roman" w:hAnsi="Times New Roman" w:cs="Times New Roman"/>
        </w:rPr>
      </w:pPr>
    </w:p>
    <w:p w:rsidR="00F81ADA" w:rsidRPr="00F81ADA" w:rsidRDefault="00F81ADA">
      <w:pPr>
        <w:rPr>
          <w:rFonts w:ascii="Times New Roman" w:hAnsi="Times New Roman" w:cs="Times New Roman"/>
        </w:rPr>
      </w:pPr>
      <w:r>
        <w:rPr>
          <w:rFonts w:ascii="Times New Roman" w:hAnsi="Times New Roman" w:cs="Times New Roman"/>
          <w:b/>
        </w:rPr>
        <w:t xml:space="preserve">The Objectives. </w:t>
      </w:r>
      <w:r>
        <w:rPr>
          <w:rFonts w:ascii="Times New Roman" w:hAnsi="Times New Roman" w:cs="Times New Roman"/>
        </w:rPr>
        <w:t xml:space="preserve">There are eight objectives outlined for this course.  </w:t>
      </w:r>
      <w:r w:rsidR="00B27221">
        <w:rPr>
          <w:rFonts w:ascii="Times New Roman" w:hAnsi="Times New Roman" w:cs="Times New Roman"/>
        </w:rPr>
        <w:t>They largely focus on candidates’ abilities to appreciate the refined nature of literacy processing in the various content areas and are supported through the assignments set forth for the course.  One of the key objectives for the course is that candidates learn a range of formative and summative assessments and embed a range of them appropriately within their 4-week curriculum unit projects.  It is essential that this objective be repeatedly and rigorously supported.  This is because candidates will encounter a Learning Cycle Assessment in their subsequent semester of student teaching.  They must be facile in their recognition of how assessment is integrally related to a learning cycle on the part of adolescent students.</w:t>
      </w:r>
    </w:p>
    <w:p w:rsidR="00F81ADA" w:rsidRDefault="00F81ADA">
      <w:pPr>
        <w:rPr>
          <w:rFonts w:ascii="Times New Roman" w:hAnsi="Times New Roman" w:cs="Times New Roman"/>
          <w:b/>
        </w:rPr>
      </w:pPr>
    </w:p>
    <w:p w:rsidR="00F81ADA" w:rsidRDefault="00F81ADA" w:rsidP="00F61FE2">
      <w:pPr>
        <w:rPr>
          <w:rFonts w:ascii="Times New Roman" w:hAnsi="Times New Roman" w:cs="Times New Roman"/>
        </w:rPr>
      </w:pPr>
      <w:r w:rsidRPr="00F61FE2">
        <w:rPr>
          <w:rFonts w:ascii="Times New Roman" w:hAnsi="Times New Roman" w:cs="Times New Roman"/>
          <w:b/>
        </w:rPr>
        <w:t>The Assignments</w:t>
      </w:r>
      <w:r w:rsidRPr="00F61FE2">
        <w:rPr>
          <w:rFonts w:ascii="Times New Roman" w:hAnsi="Times New Roman" w:cs="Times New Roman"/>
        </w:rPr>
        <w:t>.</w:t>
      </w:r>
      <w:r w:rsidR="00B27221" w:rsidRPr="00F61FE2">
        <w:rPr>
          <w:rFonts w:ascii="Times New Roman" w:hAnsi="Times New Roman" w:cs="Times New Roman"/>
        </w:rPr>
        <w:t xml:space="preserve"> All of the assignments are integ</w:t>
      </w:r>
      <w:r w:rsidR="00F61FE2">
        <w:rPr>
          <w:rFonts w:ascii="Times New Roman" w:hAnsi="Times New Roman" w:cs="Times New Roman"/>
        </w:rPr>
        <w:t>rally related to the design of the</w:t>
      </w:r>
      <w:r w:rsidR="00B27221" w:rsidRPr="00F61FE2">
        <w:rPr>
          <w:rFonts w:ascii="Times New Roman" w:hAnsi="Times New Roman" w:cs="Times New Roman"/>
        </w:rPr>
        <w:t xml:space="preserve"> 4-week curriculum unit project in candidates’ respective subject areas.  </w:t>
      </w:r>
      <w:r w:rsidR="00EB7BFB">
        <w:rPr>
          <w:rFonts w:ascii="Times New Roman" w:hAnsi="Times New Roman" w:cs="Times New Roman"/>
        </w:rPr>
        <w:t>1</w:t>
      </w:r>
      <w:r w:rsidR="00EB7BFB" w:rsidRPr="00EB7BFB">
        <w:rPr>
          <w:rFonts w:ascii="Times New Roman" w:hAnsi="Times New Roman" w:cs="Times New Roman"/>
          <w:vertAlign w:val="superscript"/>
        </w:rPr>
        <w:t>st</w:t>
      </w:r>
      <w:r w:rsidR="00EB7BFB">
        <w:rPr>
          <w:rFonts w:ascii="Times New Roman" w:hAnsi="Times New Roman" w:cs="Times New Roman"/>
        </w:rPr>
        <w:t xml:space="preserve">, </w:t>
      </w:r>
      <w:r w:rsidR="00B27221" w:rsidRPr="00F61FE2">
        <w:rPr>
          <w:rFonts w:ascii="Times New Roman" w:hAnsi="Times New Roman" w:cs="Times New Roman"/>
        </w:rPr>
        <w:t xml:space="preserve">The readings support a general appreciation for content literacy processing </w:t>
      </w:r>
      <w:r w:rsidR="00F61FE2" w:rsidRPr="00F61FE2">
        <w:rPr>
          <w:rFonts w:ascii="Times New Roman" w:hAnsi="Times New Roman" w:cs="Times New Roman"/>
        </w:rPr>
        <w:t xml:space="preserve">and strategies, a social justice mindset, and assessment principles and practices.  </w:t>
      </w:r>
      <w:r w:rsidR="00EB7BFB">
        <w:rPr>
          <w:rFonts w:ascii="Times New Roman" w:hAnsi="Times New Roman" w:cs="Times New Roman"/>
        </w:rPr>
        <w:t>2</w:t>
      </w:r>
      <w:r w:rsidR="00EB7BFB" w:rsidRPr="00EB7BFB">
        <w:rPr>
          <w:rFonts w:ascii="Times New Roman" w:hAnsi="Times New Roman" w:cs="Times New Roman"/>
          <w:vertAlign w:val="superscript"/>
        </w:rPr>
        <w:t>nd</w:t>
      </w:r>
      <w:r w:rsidR="00EB7BFB">
        <w:rPr>
          <w:rFonts w:ascii="Times New Roman" w:hAnsi="Times New Roman" w:cs="Times New Roman"/>
        </w:rPr>
        <w:t xml:space="preserve">, </w:t>
      </w:r>
      <w:r w:rsidR="00F61FE2" w:rsidRPr="00F61FE2">
        <w:rPr>
          <w:rFonts w:ascii="Times New Roman" w:hAnsi="Times New Roman" w:cs="Times New Roman"/>
        </w:rPr>
        <w:t xml:space="preserve">The second outlined assignment asks candidates to present the rudiments of a lesson that is being planned within their 4-week curriculum unit project.  They are encouraged to set up </w:t>
      </w:r>
      <w:r w:rsidR="00F61FE2">
        <w:rPr>
          <w:rFonts w:ascii="Times New Roman" w:hAnsi="Times New Roman" w:cs="Times New Roman"/>
        </w:rPr>
        <w:t xml:space="preserve">and model pre-reading, reading and engagement, and post-reading or post-engagement strategies relative to a particular segment of the text being used for the 4-week curriculum unit project. These presentations should last no longer than about 20 minutes; </w:t>
      </w:r>
      <w:proofErr w:type="gramStart"/>
      <w:r w:rsidR="00F61FE2">
        <w:rPr>
          <w:rFonts w:ascii="Times New Roman" w:hAnsi="Times New Roman" w:cs="Times New Roman"/>
        </w:rPr>
        <w:t>thus</w:t>
      </w:r>
      <w:proofErr w:type="gramEnd"/>
      <w:r w:rsidR="00F61FE2">
        <w:rPr>
          <w:rFonts w:ascii="Times New Roman" w:hAnsi="Times New Roman" w:cs="Times New Roman"/>
        </w:rPr>
        <w:t xml:space="preserve"> all segments of a lesson may not be presented.  For example, pre-reading or pre-engagement strategies may be </w:t>
      </w:r>
      <w:r w:rsidR="00D67020">
        <w:rPr>
          <w:rFonts w:ascii="Times New Roman" w:hAnsi="Times New Roman" w:cs="Times New Roman"/>
        </w:rPr>
        <w:t xml:space="preserve">fully </w:t>
      </w:r>
      <w:r w:rsidR="00F61FE2">
        <w:rPr>
          <w:rFonts w:ascii="Times New Roman" w:hAnsi="Times New Roman" w:cs="Times New Roman"/>
        </w:rPr>
        <w:t xml:space="preserve">modeled and implemented with colleagues while the post-reading or post-engagement strategies </w:t>
      </w:r>
      <w:r w:rsidR="00D67020">
        <w:rPr>
          <w:rFonts w:ascii="Times New Roman" w:hAnsi="Times New Roman" w:cs="Times New Roman"/>
        </w:rPr>
        <w:t xml:space="preserve">may be only briefly described due to time constraints.  Candidates may present these lessons as a pair or trio, given that small-group collaboration is encouraged for the construction of the 4-week curriculum unit plan.  </w:t>
      </w:r>
      <w:r w:rsidR="00EB7BFB">
        <w:rPr>
          <w:rFonts w:ascii="Times New Roman" w:hAnsi="Times New Roman" w:cs="Times New Roman"/>
        </w:rPr>
        <w:t>3</w:t>
      </w:r>
      <w:r w:rsidR="00EB7BFB" w:rsidRPr="00EB7BFB">
        <w:rPr>
          <w:rFonts w:ascii="Times New Roman" w:hAnsi="Times New Roman" w:cs="Times New Roman"/>
          <w:vertAlign w:val="superscript"/>
        </w:rPr>
        <w:t>rd</w:t>
      </w:r>
      <w:r w:rsidR="00EB7BFB">
        <w:rPr>
          <w:rFonts w:ascii="Times New Roman" w:hAnsi="Times New Roman" w:cs="Times New Roman"/>
        </w:rPr>
        <w:t xml:space="preserve">, </w:t>
      </w:r>
      <w:r w:rsidR="00D67020">
        <w:rPr>
          <w:rFonts w:ascii="Times New Roman" w:hAnsi="Times New Roman" w:cs="Times New Roman"/>
        </w:rPr>
        <w:t>The assigned web-site reviews can be completed by accessing Just Read Now web-site:</w:t>
      </w:r>
      <w:r w:rsidR="00EB7BFB">
        <w:rPr>
          <w:rFonts w:ascii="Times New Roman" w:hAnsi="Times New Roman" w:cs="Times New Roman"/>
        </w:rPr>
        <w:t xml:space="preserve"> </w:t>
      </w:r>
      <w:hyperlink r:id="rId6" w:history="1">
        <w:r w:rsidR="00D67020" w:rsidRPr="00B663A3">
          <w:rPr>
            <w:rStyle w:val="Hyperlink"/>
            <w:rFonts w:ascii="Times New Roman" w:hAnsi="Times New Roman" w:cs="Times New Roman"/>
          </w:rPr>
          <w:t>http://www.readingeducator.c</w:t>
        </w:r>
        <w:r w:rsidR="00D67020" w:rsidRPr="00B663A3">
          <w:rPr>
            <w:rStyle w:val="Hyperlink"/>
            <w:rFonts w:ascii="Times New Roman" w:hAnsi="Times New Roman" w:cs="Times New Roman"/>
          </w:rPr>
          <w:t>o</w:t>
        </w:r>
        <w:r w:rsidR="00D67020" w:rsidRPr="00B663A3">
          <w:rPr>
            <w:rStyle w:val="Hyperlink"/>
            <w:rFonts w:ascii="Times New Roman" w:hAnsi="Times New Roman" w:cs="Times New Roman"/>
          </w:rPr>
          <w:t>m/strategies/index.htm</w:t>
        </w:r>
      </w:hyperlink>
    </w:p>
    <w:p w:rsidR="00D67020" w:rsidRDefault="00EB7BFB" w:rsidP="00F61FE2">
      <w:pPr>
        <w:rPr>
          <w:rFonts w:ascii="Times New Roman" w:hAnsi="Times New Roman" w:cs="Times New Roman"/>
        </w:rPr>
      </w:pPr>
      <w:r>
        <w:rPr>
          <w:rFonts w:ascii="Times New Roman" w:hAnsi="Times New Roman" w:cs="Times New Roman"/>
        </w:rPr>
        <w:t xml:space="preserve">There are a range of discussion, active reading and vocabulary development strategies outlined on this site that can be implemented within the 4-week curriculum unit project.  Thus, having students review at least 5 of the strategies outlined for each one of the </w:t>
      </w:r>
      <w:r>
        <w:rPr>
          <w:rFonts w:ascii="Times New Roman" w:hAnsi="Times New Roman" w:cs="Times New Roman"/>
        </w:rPr>
        <w:t xml:space="preserve">discussion, active reading and vocabulary development </w:t>
      </w:r>
      <w:r>
        <w:rPr>
          <w:rFonts w:ascii="Times New Roman" w:hAnsi="Times New Roman" w:cs="Times New Roman"/>
        </w:rPr>
        <w:t xml:space="preserve">activities is a good idea.  It familiarizes candidates with these </w:t>
      </w:r>
      <w:r w:rsidR="00536FD7">
        <w:rPr>
          <w:rFonts w:ascii="Times New Roman" w:hAnsi="Times New Roman" w:cs="Times New Roman"/>
        </w:rPr>
        <w:lastRenderedPageBreak/>
        <w:t>resources</w:t>
      </w:r>
      <w:r>
        <w:rPr>
          <w:rFonts w:ascii="Times New Roman" w:hAnsi="Times New Roman" w:cs="Times New Roman"/>
        </w:rPr>
        <w:t xml:space="preserve"> and allows them to explore possible implementations of the strategies within their 4-week curriculum unit projects.  4</w:t>
      </w:r>
      <w:r w:rsidRPr="00EB7BFB">
        <w:rPr>
          <w:rFonts w:ascii="Times New Roman" w:hAnsi="Times New Roman" w:cs="Times New Roman"/>
          <w:vertAlign w:val="superscript"/>
        </w:rPr>
        <w:t>th</w:t>
      </w:r>
      <w:r>
        <w:rPr>
          <w:rFonts w:ascii="Times New Roman" w:hAnsi="Times New Roman" w:cs="Times New Roman"/>
        </w:rPr>
        <w:t xml:space="preserve">, the Content Literacy Curriculum Project is the most encompassing and demanding of the assignments.  Please contact me (Alayne Sullivan) for a sample project.  Candidates will be setting up one-page, weekly “time-maps” (see </w:t>
      </w:r>
      <w:r w:rsidR="00FB4CF4">
        <w:rPr>
          <w:rFonts w:ascii="Times New Roman" w:hAnsi="Times New Roman" w:cs="Times New Roman"/>
        </w:rPr>
        <w:t>sample project</w:t>
      </w:r>
      <w:r>
        <w:rPr>
          <w:rFonts w:ascii="Times New Roman" w:hAnsi="Times New Roman" w:cs="Times New Roman"/>
        </w:rPr>
        <w:t>)</w:t>
      </w:r>
      <w:r w:rsidR="00FB4CF4">
        <w:rPr>
          <w:rFonts w:ascii="Times New Roman" w:hAnsi="Times New Roman" w:cs="Times New Roman"/>
        </w:rPr>
        <w:t xml:space="preserve"> that outline a range of content-literacy focused strategies for about an hour a day for Monday through Friday.  They should choose a text (or range of texts) that middle or high school students would encounter in a school year and arrange a series of coherent activities that support students’ engagement with this text(s). The range of activities or strategies will be gleaned from the web-site reviews, the texts, and other web-sites provided.  It is imperative that candidates embed about two assessments a week ranging from formative to summative, and that they design an overall conclusive or “synthesis” assignment for their students for this 4-week curriculum unit.  Given the candidates’ Learning Cycle assessments that take place during student teaching, they must gain a refined appreciation for assessment principles and practices during this MALT 608 course. </w:t>
      </w:r>
      <w:r w:rsidR="00282367">
        <w:rPr>
          <w:rFonts w:ascii="Times New Roman" w:hAnsi="Times New Roman" w:cs="Times New Roman"/>
        </w:rPr>
        <w:t xml:space="preserve"> The Content Literacy Curriculum Project is to be accompanied by about a ten-page written text.  This text should articulate (a) goals, (b) a rationale and brief description of activities/strategies for each week, and (c) specific assessments, including</w:t>
      </w:r>
      <w:r w:rsidR="009C611F">
        <w:rPr>
          <w:rFonts w:ascii="Times New Roman" w:hAnsi="Times New Roman" w:cs="Times New Roman"/>
        </w:rPr>
        <w:t xml:space="preserve"> a summative assessment for the unit.</w:t>
      </w:r>
      <w:r w:rsidR="00282367">
        <w:rPr>
          <w:rFonts w:ascii="Times New Roman" w:hAnsi="Times New Roman" w:cs="Times New Roman"/>
        </w:rPr>
        <w:t xml:space="preserve">  </w:t>
      </w:r>
      <w:bookmarkStart w:id="0" w:name="_GoBack"/>
      <w:bookmarkEnd w:id="0"/>
      <w:r w:rsidR="00FB4CF4">
        <w:rPr>
          <w:rFonts w:ascii="Times New Roman" w:hAnsi="Times New Roman" w:cs="Times New Roman"/>
        </w:rPr>
        <w:t>5</w:t>
      </w:r>
      <w:r w:rsidR="00FB4CF4" w:rsidRPr="00FB4CF4">
        <w:rPr>
          <w:rFonts w:ascii="Times New Roman" w:hAnsi="Times New Roman" w:cs="Times New Roman"/>
          <w:vertAlign w:val="superscript"/>
        </w:rPr>
        <w:t>th</w:t>
      </w:r>
      <w:r w:rsidR="00FB4CF4">
        <w:rPr>
          <w:rFonts w:ascii="Times New Roman" w:hAnsi="Times New Roman" w:cs="Times New Roman"/>
        </w:rPr>
        <w:t xml:space="preserve">, Professional Engagement </w:t>
      </w:r>
      <w:r w:rsidR="00C3349F">
        <w:rPr>
          <w:rFonts w:ascii="Times New Roman" w:hAnsi="Times New Roman" w:cs="Times New Roman"/>
        </w:rPr>
        <w:t>elements are outlined in a rubric at the end of this brief document.</w:t>
      </w:r>
    </w:p>
    <w:p w:rsidR="00FB4CF4" w:rsidRPr="00F61FE2" w:rsidRDefault="00FB4CF4" w:rsidP="00F61FE2">
      <w:pPr>
        <w:rPr>
          <w:rFonts w:ascii="Times New Roman" w:hAnsi="Times New Roman" w:cs="Times New Roman"/>
        </w:rPr>
      </w:pPr>
    </w:p>
    <w:p w:rsidR="00C3349F" w:rsidRPr="00536FD7" w:rsidRDefault="00F81ADA">
      <w:pPr>
        <w:rPr>
          <w:rFonts w:ascii="Times New Roman" w:eastAsia="Times New Roman" w:hAnsi="Times New Roman" w:cs="Times New Roman"/>
        </w:rPr>
        <w:sectPr w:rsidR="00C3349F" w:rsidRPr="00536FD7" w:rsidSect="00674934">
          <w:footerReference w:type="even" r:id="rId7"/>
          <w:footerReference w:type="default" r:id="rId8"/>
          <w:pgSz w:w="12240" w:h="15840"/>
          <w:pgMar w:top="1440" w:right="1440" w:bottom="1440" w:left="1440" w:header="720" w:footer="720" w:gutter="0"/>
          <w:cols w:space="720"/>
          <w:docGrid w:linePitch="360"/>
        </w:sectPr>
      </w:pPr>
      <w:r w:rsidRPr="00F61FE2">
        <w:rPr>
          <w:rFonts w:ascii="Times New Roman" w:hAnsi="Times New Roman" w:cs="Times New Roman"/>
          <w:b/>
        </w:rPr>
        <w:t>The Course Schedule.</w:t>
      </w:r>
      <w:r w:rsidR="00536FD7">
        <w:rPr>
          <w:rFonts w:ascii="Times New Roman" w:hAnsi="Times New Roman" w:cs="Times New Roman"/>
          <w:b/>
        </w:rPr>
        <w:t xml:space="preserve">  </w:t>
      </w:r>
      <w:r w:rsidR="00536FD7">
        <w:rPr>
          <w:rFonts w:ascii="Times New Roman" w:hAnsi="Times New Roman" w:cs="Times New Roman"/>
        </w:rPr>
        <w:t xml:space="preserve"> The course schedule outlines activities that range from assigned readings to a reading and writing workshop </w:t>
      </w:r>
      <w:r w:rsidR="00536FD7" w:rsidRPr="00536FD7">
        <w:rPr>
          <w:rFonts w:ascii="Times New Roman" w:eastAsia="Times New Roman" w:hAnsi="Times New Roman" w:cs="Times New Roman"/>
          <w:color w:val="000000"/>
          <w:bdr w:val="none" w:sz="0" w:space="0" w:color="auto" w:frame="1"/>
        </w:rPr>
        <w:t>related to candidates’ written responses to reading material.</w:t>
      </w:r>
      <w:r w:rsidR="00536FD7">
        <w:rPr>
          <w:rFonts w:ascii="Times New Roman" w:eastAsia="Times New Roman" w:hAnsi="Times New Roman" w:cs="Times New Roman"/>
        </w:rPr>
        <w:t xml:space="preserve"> </w:t>
      </w:r>
      <w:r w:rsidR="00536FD7">
        <w:rPr>
          <w:rFonts w:ascii="Times New Roman" w:hAnsi="Times New Roman" w:cs="Times New Roman"/>
        </w:rPr>
        <w:t xml:space="preserve">The reading and writing workshop is meant to be supportive of candidates’ written syntheses of the core reading.  The first of these 2 to 3-page synthesis texts (based on the readings) is due for class five.   </w:t>
      </w:r>
      <w:r w:rsidR="00823572">
        <w:rPr>
          <w:rFonts w:ascii="Times New Roman" w:hAnsi="Times New Roman" w:cs="Times New Roman"/>
        </w:rPr>
        <w:t>T</w:t>
      </w:r>
      <w:r w:rsidR="00536FD7">
        <w:rPr>
          <w:rFonts w:ascii="Times New Roman" w:hAnsi="Times New Roman" w:cs="Times New Roman"/>
        </w:rPr>
        <w:t xml:space="preserve">hese reading and writing workshops are </w:t>
      </w:r>
      <w:r w:rsidR="00823572">
        <w:rPr>
          <w:rFonts w:ascii="Times New Roman" w:hAnsi="Times New Roman" w:cs="Times New Roman"/>
        </w:rPr>
        <w:t>meant to guide and support student’s written synthesis of core reading materials</w:t>
      </w:r>
      <w:r w:rsidR="00243C61">
        <w:rPr>
          <w:rFonts w:ascii="Times New Roman" w:hAnsi="Times New Roman" w:cs="Times New Roman"/>
        </w:rPr>
        <w:t>.  They should learn to present their ideas cogently and by forwarding core themes that are explicitly aligned with specific textual elements using APA citation style.  This style of academic writing may represent a learning curve for students whose academic writing backgrounds are inexperienced.  As professors come to know the stre</w:t>
      </w:r>
      <w:r w:rsidR="004E7288">
        <w:rPr>
          <w:rFonts w:ascii="Times New Roman" w:hAnsi="Times New Roman" w:cs="Times New Roman"/>
        </w:rPr>
        <w:t>ngths and limitations of students’ written</w:t>
      </w:r>
      <w:r w:rsidR="00243C61">
        <w:rPr>
          <w:rFonts w:ascii="Times New Roman" w:hAnsi="Times New Roman" w:cs="Times New Roman"/>
        </w:rPr>
        <w:t xml:space="preserve"> syntheses, it may be feasible to </w:t>
      </w:r>
      <w:r w:rsidR="004E7288">
        <w:rPr>
          <w:rFonts w:ascii="Times New Roman" w:hAnsi="Times New Roman" w:cs="Times New Roman"/>
        </w:rPr>
        <w:t xml:space="preserve">model stronger papers (based on submissions) to show specific elements related to word usage, phraseology, organization, quality of ideas, and academically voiced texts.  Pedagogical judgement should prevail as how to proceed with this reading and writing workshop aspect of the course.  As students proceed to MALT </w:t>
      </w:r>
      <w:r w:rsidR="006C3812">
        <w:rPr>
          <w:rFonts w:ascii="Times New Roman" w:hAnsi="Times New Roman" w:cs="Times New Roman"/>
        </w:rPr>
        <w:t xml:space="preserve"> 610, they will appreciate the supportive work done in earlier courses to address their written language skills; in that MALT 610 course, the writing expectations are stringent.  </w:t>
      </w:r>
    </w:p>
    <w:p w:rsidR="00536FD7" w:rsidRPr="00536FD7" w:rsidRDefault="00536FD7" w:rsidP="00536FD7">
      <w:pPr>
        <w:rPr>
          <w:rFonts w:ascii="Times New Roman" w:hAnsi="Times New Roman" w:cs="Times New Roman"/>
          <w:sz w:val="20"/>
          <w:szCs w:val="20"/>
        </w:rPr>
      </w:pPr>
      <w:r w:rsidRPr="00536FD7">
        <w:rPr>
          <w:rFonts w:ascii="Times New Roman" w:hAnsi="Times New Roman" w:cs="Times New Roman"/>
          <w:sz w:val="20"/>
          <w:szCs w:val="20"/>
          <w:u w:val="single"/>
        </w:rPr>
        <w:lastRenderedPageBreak/>
        <w:t xml:space="preserve">Professional Engagement </w:t>
      </w:r>
      <w:r w:rsidRPr="00536FD7">
        <w:rPr>
          <w:rFonts w:ascii="Times New Roman" w:hAnsi="Times New Roman" w:cs="Times New Roman"/>
          <w:sz w:val="20"/>
          <w:szCs w:val="20"/>
        </w:rPr>
        <w:t>- (20 points)</w:t>
      </w:r>
    </w:p>
    <w:p w:rsidR="00536FD7" w:rsidRPr="00536FD7" w:rsidRDefault="00536FD7" w:rsidP="00536F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3350"/>
        <w:gridCol w:w="3099"/>
        <w:gridCol w:w="3166"/>
      </w:tblGrid>
      <w:tr w:rsidR="00536FD7" w:rsidRPr="00536FD7" w:rsidTr="00AF7BD7">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536FD7" w:rsidRPr="00536FD7" w:rsidRDefault="00536FD7" w:rsidP="00AF7BD7">
            <w:pPr>
              <w:pStyle w:val="Subtitle"/>
              <w:rPr>
                <w:rFonts w:ascii="Times New Roman" w:hAnsi="Times New Roman"/>
                <w:sz w:val="20"/>
                <w:szCs w:val="20"/>
              </w:rPr>
            </w:pPr>
            <w:r w:rsidRPr="00536FD7">
              <w:rPr>
                <w:rFonts w:ascii="Times New Roman" w:hAnsi="Times New Roman"/>
                <w:sz w:val="20"/>
                <w:szCs w:val="20"/>
              </w:rPr>
              <w:t>Major Criteria For</w:t>
            </w:r>
          </w:p>
          <w:p w:rsidR="00536FD7" w:rsidRPr="00536FD7" w:rsidRDefault="00536FD7" w:rsidP="00AF7BD7">
            <w:pPr>
              <w:pStyle w:val="Subtitle"/>
              <w:rPr>
                <w:rFonts w:ascii="Times New Roman" w:hAnsi="Times New Roman"/>
                <w:sz w:val="20"/>
                <w:szCs w:val="20"/>
              </w:rPr>
            </w:pPr>
            <w:r w:rsidRPr="00536FD7">
              <w:rPr>
                <w:rFonts w:ascii="Times New Roman" w:hAnsi="Times New Roman"/>
                <w:sz w:val="20"/>
                <w:szCs w:val="20"/>
              </w:rPr>
              <w:t>Professional Engagement</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b/>
                <w:sz w:val="20"/>
                <w:szCs w:val="20"/>
                <w:u w:val="single"/>
              </w:rPr>
              <w:t>A Range</w:t>
            </w:r>
            <w:r w:rsidRPr="00536FD7">
              <w:rPr>
                <w:rFonts w:ascii="Times New Roman" w:hAnsi="Times New Roman" w:cs="Times New Roman"/>
                <w:sz w:val="20"/>
                <w:szCs w:val="20"/>
              </w:rPr>
              <w:t xml:space="preserve">: Work in this category is exemplary, often surpassing standards and outlined criteria. </w:t>
            </w:r>
          </w:p>
          <w:p w:rsidR="00536FD7" w:rsidRPr="00536FD7" w:rsidRDefault="00536FD7" w:rsidP="00AF7BD7">
            <w:pPr>
              <w:jc w:val="center"/>
              <w:rPr>
                <w:rFonts w:ascii="Times New Roman" w:hAnsi="Times New Roman" w:cs="Times New Roman"/>
                <w:b/>
                <w:sz w:val="20"/>
                <w:szCs w:val="20"/>
                <w:u w:val="single"/>
              </w:rPr>
            </w:pPr>
            <w:r w:rsidRPr="00536FD7">
              <w:rPr>
                <w:rFonts w:ascii="Times New Roman" w:hAnsi="Times New Roman" w:cs="Times New Roman"/>
                <w:sz w:val="20"/>
                <w:szCs w:val="20"/>
              </w:rPr>
              <w:t>A</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b/>
                <w:sz w:val="20"/>
                <w:szCs w:val="20"/>
                <w:u w:val="single"/>
              </w:rPr>
              <w:t>B Range</w:t>
            </w:r>
            <w:r w:rsidRPr="00536FD7">
              <w:rPr>
                <w:rFonts w:ascii="Times New Roman" w:hAnsi="Times New Roman" w:cs="Times New Roman"/>
                <w:sz w:val="20"/>
                <w:szCs w:val="20"/>
              </w:rPr>
              <w:t>: Work in this category is very good, fulfilling most outlined criteria.  One or two elements of each major criteria may not be present or are inexactly fulfilled.</w:t>
            </w:r>
          </w:p>
          <w:p w:rsidR="00536FD7" w:rsidRPr="00536FD7" w:rsidRDefault="00536FD7" w:rsidP="00AF7BD7">
            <w:pPr>
              <w:jc w:val="center"/>
              <w:rPr>
                <w:rFonts w:ascii="Times New Roman" w:hAnsi="Times New Roman" w:cs="Times New Roman"/>
                <w:sz w:val="20"/>
                <w:szCs w:val="20"/>
              </w:rPr>
            </w:pPr>
            <w:r w:rsidRPr="00536FD7">
              <w:rPr>
                <w:rFonts w:ascii="Times New Roman" w:hAnsi="Times New Roman" w:cs="Times New Roman"/>
                <w:sz w:val="20"/>
                <w:szCs w:val="20"/>
              </w:rPr>
              <w:t>B</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b/>
                <w:sz w:val="20"/>
                <w:szCs w:val="20"/>
                <w:u w:val="single"/>
              </w:rPr>
              <w:t>C/D Range</w:t>
            </w:r>
            <w:r w:rsidRPr="00536FD7">
              <w:rPr>
                <w:rFonts w:ascii="Times New Roman" w:hAnsi="Times New Roman" w:cs="Times New Roman"/>
                <w:sz w:val="20"/>
                <w:szCs w:val="20"/>
              </w:rPr>
              <w:t>: Work in this category reflects inconsistent attention to outlined criteria as well as class explanations.  Two or more elements of each major criterion are omitted or fulfilled incompletely or inexactly.</w:t>
            </w:r>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ab/>
            </w:r>
            <w:r w:rsidRPr="00536FD7">
              <w:rPr>
                <w:rFonts w:ascii="Times New Roman" w:hAnsi="Times New Roman" w:cs="Times New Roman"/>
                <w:sz w:val="20"/>
                <w:szCs w:val="20"/>
              </w:rPr>
              <w:tab/>
              <w:t>C</w:t>
            </w:r>
            <w:r w:rsidRPr="00536FD7">
              <w:rPr>
                <w:rFonts w:ascii="Times New Roman" w:hAnsi="Times New Roman" w:cs="Times New Roman"/>
                <w:sz w:val="20"/>
                <w:szCs w:val="20"/>
              </w:rPr>
              <w:tab/>
            </w:r>
            <w:r w:rsidRPr="00536FD7">
              <w:rPr>
                <w:rFonts w:ascii="Times New Roman" w:hAnsi="Times New Roman" w:cs="Times New Roman"/>
                <w:sz w:val="20"/>
                <w:szCs w:val="20"/>
              </w:rPr>
              <w:tab/>
            </w:r>
          </w:p>
        </w:tc>
      </w:tr>
      <w:tr w:rsidR="00536FD7" w:rsidRPr="00536FD7" w:rsidTr="00AF7BD7">
        <w:tc>
          <w:tcPr>
            <w:tcW w:w="3654" w:type="dxa"/>
            <w:tcBorders>
              <w:top w:val="threeDEngrave" w:sz="24" w:space="0" w:color="auto"/>
            </w:tcBorders>
          </w:tcPr>
          <w:p w:rsidR="00536FD7" w:rsidRPr="00536FD7" w:rsidRDefault="00536FD7" w:rsidP="00AF7BD7">
            <w:pPr>
              <w:pStyle w:val="Heading1"/>
              <w:jc w:val="center"/>
              <w:rPr>
                <w:b/>
                <w:sz w:val="20"/>
                <w:szCs w:val="20"/>
                <w:u w:val="single"/>
              </w:rPr>
            </w:pPr>
            <w:r w:rsidRPr="00536FD7">
              <w:rPr>
                <w:b/>
                <w:sz w:val="20"/>
                <w:szCs w:val="20"/>
                <w:u w:val="single"/>
              </w:rPr>
              <w:t>Attendance &amp; Notes</w:t>
            </w:r>
          </w:p>
        </w:tc>
        <w:tc>
          <w:tcPr>
            <w:tcW w:w="3654" w:type="dxa"/>
            <w:tcBorders>
              <w:top w:val="threeDEngrave" w:sz="24" w:space="0" w:color="auto"/>
            </w:tcBorders>
          </w:tcPr>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xml:space="preserve">- candidates are cognitively, aesthetically, and physically “present” for elements of class activities, readings, and work on core journals analysis, case-study profile, leadership project, and theoretical synthesis </w:t>
            </w:r>
            <w:proofErr w:type="gramStart"/>
            <w:r w:rsidRPr="00536FD7">
              <w:rPr>
                <w:rFonts w:ascii="Times New Roman" w:hAnsi="Times New Roman" w:cs="Times New Roman"/>
                <w:sz w:val="20"/>
                <w:szCs w:val="20"/>
              </w:rPr>
              <w:t>model ;</w:t>
            </w:r>
            <w:proofErr w:type="gramEnd"/>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candidates’ class work reflects sensitive listening and respect for professor and colleagues’ presentations, questions, and discussion;</w:t>
            </w:r>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notes are taken in each class relative to presentations, assignment explanations, strategies, and leadership dimensions.</w:t>
            </w:r>
          </w:p>
        </w:tc>
        <w:tc>
          <w:tcPr>
            <w:tcW w:w="3654" w:type="dxa"/>
            <w:tcBorders>
              <w:top w:val="threeDEngrave" w:sz="24" w:space="0" w:color="auto"/>
            </w:tcBorders>
          </w:tcPr>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9DD96B9" wp14:editId="14EBE418">
                      <wp:simplePos x="0" y="0"/>
                      <wp:positionH relativeFrom="column">
                        <wp:posOffset>120015</wp:posOffset>
                      </wp:positionH>
                      <wp:positionV relativeFrom="paragraph">
                        <wp:posOffset>342265</wp:posOffset>
                      </wp:positionV>
                      <wp:extent cx="4086860" cy="3081655"/>
                      <wp:effectExtent l="25400" t="190500" r="129540"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3081655"/>
                              </a:xfrm>
                              <a:prstGeom prst="stripedRightArrow">
                                <a:avLst>
                                  <a:gd name="adj1" fmla="val 50000"/>
                                  <a:gd name="adj2" fmla="val 33155"/>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246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 o:spid="_x0000_s1026" type="#_x0000_t93" style="position:absolute;margin-left:9.45pt;margin-top:26.95pt;width:321.8pt;height:2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">
                      <o:extrusion v:ext="view" color="white" on="t"/>
                    </v:shape>
                  </w:pict>
                </mc:Fallback>
              </mc:AlternateContent>
            </w:r>
          </w:p>
        </w:tc>
        <w:tc>
          <w:tcPr>
            <w:tcW w:w="3654" w:type="dxa"/>
            <w:tcBorders>
              <w:top w:val="threeDEngrave" w:sz="24" w:space="0" w:color="auto"/>
            </w:tcBorders>
          </w:tcPr>
          <w:p w:rsidR="00536FD7" w:rsidRPr="00536FD7" w:rsidRDefault="00536FD7" w:rsidP="00AF7BD7">
            <w:pPr>
              <w:rPr>
                <w:rFonts w:ascii="Times New Roman" w:hAnsi="Times New Roman" w:cs="Times New Roman"/>
                <w:sz w:val="20"/>
                <w:szCs w:val="20"/>
              </w:rPr>
            </w:pPr>
          </w:p>
        </w:tc>
      </w:tr>
      <w:tr w:rsidR="00536FD7" w:rsidRPr="00536FD7" w:rsidTr="00AF7BD7">
        <w:tc>
          <w:tcPr>
            <w:tcW w:w="3654" w:type="dxa"/>
          </w:tcPr>
          <w:p w:rsidR="00536FD7" w:rsidRPr="00536FD7" w:rsidRDefault="00536FD7" w:rsidP="00AF7BD7">
            <w:pPr>
              <w:jc w:val="center"/>
              <w:rPr>
                <w:rFonts w:ascii="Times New Roman" w:hAnsi="Times New Roman" w:cs="Times New Roman"/>
                <w:b/>
                <w:sz w:val="20"/>
                <w:szCs w:val="20"/>
                <w:u w:val="single"/>
              </w:rPr>
            </w:pPr>
            <w:r w:rsidRPr="00536FD7">
              <w:rPr>
                <w:rFonts w:ascii="Times New Roman" w:hAnsi="Times New Roman" w:cs="Times New Roman"/>
                <w:b/>
                <w:sz w:val="20"/>
                <w:szCs w:val="20"/>
                <w:u w:val="single"/>
              </w:rPr>
              <w:t>Preparation</w:t>
            </w:r>
          </w:p>
        </w:tc>
        <w:tc>
          <w:tcPr>
            <w:tcW w:w="3654" w:type="dxa"/>
          </w:tcPr>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Candidates complete assigned readings, class activities, and work toward range of projects in accordance with Course Calendar details &amp; rubric elements;</w:t>
            </w:r>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Candidates’ presentations are made in accordance with outlined criteria and class discussions/suggestions;</w:t>
            </w:r>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Various assigned responses to range of texts, are completed with conscientious attention to assigned details and in-class guidelines.</w:t>
            </w:r>
          </w:p>
        </w:tc>
        <w:tc>
          <w:tcPr>
            <w:tcW w:w="3654" w:type="dxa"/>
          </w:tcPr>
          <w:p w:rsidR="00536FD7" w:rsidRPr="00536FD7" w:rsidRDefault="00536FD7" w:rsidP="00AF7BD7">
            <w:pPr>
              <w:rPr>
                <w:rFonts w:ascii="Times New Roman" w:hAnsi="Times New Roman" w:cs="Times New Roman"/>
                <w:sz w:val="20"/>
                <w:szCs w:val="20"/>
              </w:rPr>
            </w:pPr>
          </w:p>
        </w:tc>
        <w:tc>
          <w:tcPr>
            <w:tcW w:w="3654" w:type="dxa"/>
          </w:tcPr>
          <w:p w:rsidR="00536FD7" w:rsidRPr="00536FD7" w:rsidRDefault="00536FD7" w:rsidP="00AF7BD7">
            <w:pPr>
              <w:rPr>
                <w:rFonts w:ascii="Times New Roman" w:hAnsi="Times New Roman" w:cs="Times New Roman"/>
                <w:sz w:val="20"/>
                <w:szCs w:val="20"/>
              </w:rPr>
            </w:pPr>
          </w:p>
        </w:tc>
      </w:tr>
      <w:tr w:rsidR="00536FD7" w:rsidRPr="00536FD7" w:rsidTr="00AF7BD7">
        <w:tc>
          <w:tcPr>
            <w:tcW w:w="3654" w:type="dxa"/>
          </w:tcPr>
          <w:p w:rsidR="00536FD7" w:rsidRPr="00536FD7" w:rsidRDefault="00536FD7" w:rsidP="00AF7BD7">
            <w:pPr>
              <w:jc w:val="center"/>
              <w:rPr>
                <w:rFonts w:ascii="Times New Roman" w:hAnsi="Times New Roman" w:cs="Times New Roman"/>
                <w:b/>
                <w:sz w:val="20"/>
                <w:szCs w:val="20"/>
                <w:u w:val="single"/>
              </w:rPr>
            </w:pPr>
            <w:r w:rsidRPr="00536FD7">
              <w:rPr>
                <w:rFonts w:ascii="Times New Roman" w:hAnsi="Times New Roman" w:cs="Times New Roman"/>
                <w:b/>
                <w:sz w:val="20"/>
                <w:szCs w:val="20"/>
                <w:u w:val="single"/>
              </w:rPr>
              <w:lastRenderedPageBreak/>
              <w:t>Professionalism</w:t>
            </w:r>
          </w:p>
        </w:tc>
        <w:tc>
          <w:tcPr>
            <w:tcW w:w="3654" w:type="dxa"/>
          </w:tcPr>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Candidates’ interact with one another in class, throughout collaborative meetings out of class, and via any web-site postings with respect;</w:t>
            </w:r>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Disagreements and varying viewpoints are expressed with respect for positions of others;</w:t>
            </w:r>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In-class decorum is maintained;</w:t>
            </w:r>
          </w:p>
          <w:p w:rsidR="00536FD7" w:rsidRPr="00536FD7" w:rsidRDefault="00536FD7" w:rsidP="00AF7BD7">
            <w:pPr>
              <w:rPr>
                <w:rFonts w:ascii="Times New Roman" w:hAnsi="Times New Roman" w:cs="Times New Roman"/>
                <w:sz w:val="20"/>
                <w:szCs w:val="20"/>
              </w:rPr>
            </w:pPr>
            <w:r w:rsidRPr="00536FD7">
              <w:rPr>
                <w:rFonts w:ascii="Times New Roman" w:hAnsi="Times New Roman" w:cs="Times New Roman"/>
                <w:sz w:val="20"/>
                <w:szCs w:val="20"/>
              </w:rPr>
              <w:t>- Cell phones, I-Pods, and other devices do not intrude on respectful attention and engagement of candidates.</w:t>
            </w:r>
          </w:p>
        </w:tc>
        <w:tc>
          <w:tcPr>
            <w:tcW w:w="3654" w:type="dxa"/>
          </w:tcPr>
          <w:p w:rsidR="00536FD7" w:rsidRPr="00536FD7" w:rsidRDefault="00536FD7" w:rsidP="00AF7BD7">
            <w:pPr>
              <w:rPr>
                <w:rFonts w:ascii="Times New Roman" w:hAnsi="Times New Roman" w:cs="Times New Roman"/>
                <w:sz w:val="20"/>
                <w:szCs w:val="20"/>
              </w:rPr>
            </w:pPr>
          </w:p>
        </w:tc>
        <w:tc>
          <w:tcPr>
            <w:tcW w:w="3654" w:type="dxa"/>
          </w:tcPr>
          <w:p w:rsidR="00536FD7" w:rsidRPr="00536FD7" w:rsidRDefault="00536FD7" w:rsidP="00AF7BD7">
            <w:pPr>
              <w:rPr>
                <w:rFonts w:ascii="Times New Roman" w:hAnsi="Times New Roman" w:cs="Times New Roman"/>
                <w:sz w:val="20"/>
                <w:szCs w:val="20"/>
              </w:rPr>
            </w:pPr>
          </w:p>
        </w:tc>
      </w:tr>
    </w:tbl>
    <w:p w:rsidR="00F81ADA" w:rsidRPr="00F61FE2" w:rsidRDefault="00F81ADA">
      <w:pPr>
        <w:rPr>
          <w:rFonts w:ascii="Times New Roman" w:hAnsi="Times New Roman" w:cs="Times New Roman"/>
          <w:b/>
        </w:rPr>
      </w:pPr>
    </w:p>
    <w:sectPr w:rsidR="00F81ADA" w:rsidRPr="00F61FE2" w:rsidSect="00536F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B33" w:rsidRDefault="00463B33" w:rsidP="00536FD7">
      <w:r>
        <w:separator/>
      </w:r>
    </w:p>
  </w:endnote>
  <w:endnote w:type="continuationSeparator" w:id="0">
    <w:p w:rsidR="00463B33" w:rsidRDefault="00463B33" w:rsidP="005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588833"/>
      <w:docPartObj>
        <w:docPartGallery w:val="Page Numbers (Bottom of Page)"/>
        <w:docPartUnique/>
      </w:docPartObj>
    </w:sdtPr>
    <w:sdtContent>
      <w:p w:rsidR="00536FD7" w:rsidRDefault="00536FD7" w:rsidP="00B663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36FD7" w:rsidRDefault="00536FD7" w:rsidP="00536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4724027"/>
      <w:docPartObj>
        <w:docPartGallery w:val="Page Numbers (Bottom of Page)"/>
        <w:docPartUnique/>
      </w:docPartObj>
    </w:sdtPr>
    <w:sdtContent>
      <w:p w:rsidR="00536FD7" w:rsidRDefault="00536FD7" w:rsidP="00B663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36FD7" w:rsidRDefault="00536FD7" w:rsidP="00536F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B33" w:rsidRDefault="00463B33" w:rsidP="00536FD7">
      <w:r>
        <w:separator/>
      </w:r>
    </w:p>
  </w:footnote>
  <w:footnote w:type="continuationSeparator" w:id="0">
    <w:p w:rsidR="00463B33" w:rsidRDefault="00463B33" w:rsidP="00536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5"/>
    <w:rsid w:val="00243C61"/>
    <w:rsid w:val="00282367"/>
    <w:rsid w:val="00463B33"/>
    <w:rsid w:val="004E7288"/>
    <w:rsid w:val="00536FD7"/>
    <w:rsid w:val="00674934"/>
    <w:rsid w:val="006C3812"/>
    <w:rsid w:val="00823572"/>
    <w:rsid w:val="00847CF5"/>
    <w:rsid w:val="0097084A"/>
    <w:rsid w:val="009C611F"/>
    <w:rsid w:val="00B27221"/>
    <w:rsid w:val="00C3349F"/>
    <w:rsid w:val="00D67020"/>
    <w:rsid w:val="00EB7BFB"/>
    <w:rsid w:val="00F61FE2"/>
    <w:rsid w:val="00F81ADA"/>
    <w:rsid w:val="00FB4CF4"/>
    <w:rsid w:val="00FE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6076"/>
  <w15:chartTrackingRefBased/>
  <w15:docId w15:val="{3F7F0F1D-AA23-584B-A8A9-27C710A9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36FD7"/>
    <w:pPr>
      <w:keepNext/>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E5A4E"/>
  </w:style>
  <w:style w:type="character" w:customStyle="1" w:styleId="eop">
    <w:name w:val="eop"/>
    <w:basedOn w:val="DefaultParagraphFont"/>
    <w:rsid w:val="00FE5A4E"/>
  </w:style>
  <w:style w:type="table" w:styleId="TableGrid">
    <w:name w:val="Table Grid"/>
    <w:basedOn w:val="TableNormal"/>
    <w:uiPriority w:val="39"/>
    <w:rsid w:val="00FE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020"/>
    <w:rPr>
      <w:color w:val="0563C1" w:themeColor="hyperlink"/>
      <w:u w:val="single"/>
    </w:rPr>
  </w:style>
  <w:style w:type="character" w:styleId="UnresolvedMention">
    <w:name w:val="Unresolved Mention"/>
    <w:basedOn w:val="DefaultParagraphFont"/>
    <w:uiPriority w:val="99"/>
    <w:semiHidden/>
    <w:unhideWhenUsed/>
    <w:rsid w:val="00D67020"/>
    <w:rPr>
      <w:color w:val="808080"/>
      <w:shd w:val="clear" w:color="auto" w:fill="E6E6E6"/>
    </w:rPr>
  </w:style>
  <w:style w:type="character" w:styleId="FollowedHyperlink">
    <w:name w:val="FollowedHyperlink"/>
    <w:basedOn w:val="DefaultParagraphFont"/>
    <w:uiPriority w:val="99"/>
    <w:semiHidden/>
    <w:unhideWhenUsed/>
    <w:rsid w:val="00EB7BFB"/>
    <w:rPr>
      <w:color w:val="954F72" w:themeColor="followedHyperlink"/>
      <w:u w:val="single"/>
    </w:rPr>
  </w:style>
  <w:style w:type="character" w:customStyle="1" w:styleId="Heading1Char">
    <w:name w:val="Heading 1 Char"/>
    <w:basedOn w:val="DefaultParagraphFont"/>
    <w:link w:val="Heading1"/>
    <w:rsid w:val="00536FD7"/>
    <w:rPr>
      <w:rFonts w:ascii="Times New Roman" w:eastAsia="Times New Roman" w:hAnsi="Times New Roman" w:cs="Times New Roman"/>
    </w:rPr>
  </w:style>
  <w:style w:type="paragraph" w:styleId="Subtitle">
    <w:name w:val="Subtitle"/>
    <w:basedOn w:val="Normal"/>
    <w:link w:val="SubtitleChar"/>
    <w:qFormat/>
    <w:rsid w:val="00536FD7"/>
    <w:pPr>
      <w:jc w:val="center"/>
    </w:pPr>
    <w:rPr>
      <w:rFonts w:ascii="Times" w:eastAsia="Times New Roman" w:hAnsi="Times" w:cs="Times New Roman"/>
      <w:b/>
      <w:u w:val="single"/>
    </w:rPr>
  </w:style>
  <w:style w:type="character" w:customStyle="1" w:styleId="SubtitleChar">
    <w:name w:val="Subtitle Char"/>
    <w:basedOn w:val="DefaultParagraphFont"/>
    <w:link w:val="Subtitle"/>
    <w:rsid w:val="00536FD7"/>
    <w:rPr>
      <w:rFonts w:ascii="Times" w:eastAsia="Times New Roman" w:hAnsi="Times" w:cs="Times New Roman"/>
      <w:b/>
      <w:u w:val="single"/>
    </w:rPr>
  </w:style>
  <w:style w:type="paragraph" w:styleId="Footer">
    <w:name w:val="footer"/>
    <w:basedOn w:val="Normal"/>
    <w:link w:val="FooterChar"/>
    <w:uiPriority w:val="99"/>
    <w:unhideWhenUsed/>
    <w:rsid w:val="00536FD7"/>
    <w:pPr>
      <w:tabs>
        <w:tab w:val="center" w:pos="4680"/>
        <w:tab w:val="right" w:pos="9360"/>
      </w:tabs>
    </w:pPr>
  </w:style>
  <w:style w:type="character" w:customStyle="1" w:styleId="FooterChar">
    <w:name w:val="Footer Char"/>
    <w:basedOn w:val="DefaultParagraphFont"/>
    <w:link w:val="Footer"/>
    <w:uiPriority w:val="99"/>
    <w:rsid w:val="00536FD7"/>
  </w:style>
  <w:style w:type="character" w:styleId="PageNumber">
    <w:name w:val="page number"/>
    <w:basedOn w:val="DefaultParagraphFont"/>
    <w:uiPriority w:val="99"/>
    <w:semiHidden/>
    <w:unhideWhenUsed/>
    <w:rsid w:val="0053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1218">
      <w:bodyDiv w:val="1"/>
      <w:marLeft w:val="0"/>
      <w:marRight w:val="0"/>
      <w:marTop w:val="0"/>
      <w:marBottom w:val="0"/>
      <w:divBdr>
        <w:top w:val="none" w:sz="0" w:space="0" w:color="auto"/>
        <w:left w:val="none" w:sz="0" w:space="0" w:color="auto"/>
        <w:bottom w:val="none" w:sz="0" w:space="0" w:color="auto"/>
        <w:right w:val="none" w:sz="0" w:space="0" w:color="auto"/>
      </w:divBdr>
    </w:div>
    <w:div w:id="20489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ingeducator.com/strategies/index.ht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AA920-1502-4167-83D6-07CCA9FFF6D5}"/>
</file>

<file path=customXml/itemProps2.xml><?xml version="1.0" encoding="utf-8"?>
<ds:datastoreItem xmlns:ds="http://schemas.openxmlformats.org/officeDocument/2006/customXml" ds:itemID="{78B97C0F-E7C9-4AAF-9CF5-3FF386516C81}"/>
</file>

<file path=customXml/itemProps3.xml><?xml version="1.0" encoding="utf-8"?>
<ds:datastoreItem xmlns:ds="http://schemas.openxmlformats.org/officeDocument/2006/customXml" ds:itemID="{7892E28D-DAB7-403C-8A1C-6BABAACC6CE6}"/>
</file>

<file path=docProps/app.xml><?xml version="1.0" encoding="utf-8"?>
<Properties xmlns="http://schemas.openxmlformats.org/officeDocument/2006/extended-properties" xmlns:vt="http://schemas.openxmlformats.org/officeDocument/2006/docPropsVTypes">
  <Template>Normal.dotm</Template>
  <TotalTime>79</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Alayne Sullivan</dc:creator>
  <cp:keywords/>
  <dc:description/>
  <cp:lastModifiedBy>Alayne Sullivan</cp:lastModifiedBy>
  <cp:revision>4</cp:revision>
  <dcterms:created xsi:type="dcterms:W3CDTF">2018-07-26T18:53:00Z</dcterms:created>
  <dcterms:modified xsi:type="dcterms:W3CDTF">2018-07-27T17:26:00Z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