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EA" w:rsidRDefault="008F1FEA" w:rsidP="00AF1478">
      <w:pPr>
        <w:spacing w:after="0"/>
        <w:jc w:val="center"/>
        <w:rPr>
          <w:b/>
          <w:sz w:val="32"/>
          <w:szCs w:val="24"/>
        </w:rPr>
      </w:pPr>
      <w:bookmarkStart w:id="0" w:name="_GoBack"/>
      <w:bookmarkEnd w:id="0"/>
    </w:p>
    <w:p w:rsidR="003274A2" w:rsidRPr="007515A6" w:rsidRDefault="003274A2" w:rsidP="00AF1478">
      <w:pPr>
        <w:spacing w:after="0"/>
        <w:jc w:val="center"/>
        <w:rPr>
          <w:b/>
          <w:sz w:val="32"/>
          <w:szCs w:val="24"/>
        </w:rPr>
      </w:pPr>
      <w:r w:rsidRPr="007515A6">
        <w:rPr>
          <w:b/>
          <w:sz w:val="32"/>
          <w:szCs w:val="24"/>
        </w:rPr>
        <w:t>University of Redlands</w:t>
      </w:r>
    </w:p>
    <w:p w:rsidR="008F1FEA" w:rsidRDefault="00CE5BCB" w:rsidP="008F1FEA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School of Business</w:t>
      </w:r>
      <w:r w:rsidR="0012123A">
        <w:rPr>
          <w:b/>
          <w:sz w:val="32"/>
          <w:szCs w:val="24"/>
        </w:rPr>
        <w:t xml:space="preserve"> </w:t>
      </w:r>
    </w:p>
    <w:p w:rsidR="00CE5BCB" w:rsidRPr="007515A6" w:rsidRDefault="0012123A" w:rsidP="008F1FEA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Not-</w:t>
      </w:r>
      <w:r w:rsidR="008F1FEA">
        <w:rPr>
          <w:b/>
          <w:sz w:val="32"/>
          <w:szCs w:val="24"/>
        </w:rPr>
        <w:t xml:space="preserve">Retained </w:t>
      </w:r>
      <w:r w:rsidR="00CE5BCB">
        <w:rPr>
          <w:b/>
          <w:sz w:val="32"/>
          <w:szCs w:val="24"/>
        </w:rPr>
        <w:t>Undergraduate Subsequent Enrollment</w:t>
      </w:r>
    </w:p>
    <w:p w:rsidR="00AF1478" w:rsidRPr="007515A6" w:rsidRDefault="00F73293" w:rsidP="00AF147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Wendy McEwen, </w:t>
      </w:r>
      <w:r w:rsidR="00AF1478" w:rsidRPr="007515A6">
        <w:rPr>
          <w:i/>
          <w:sz w:val="24"/>
          <w:szCs w:val="24"/>
        </w:rPr>
        <w:t>Director of Institutional Research</w:t>
      </w:r>
    </w:p>
    <w:p w:rsidR="008319AA" w:rsidRDefault="008319AA" w:rsidP="002A5F57">
      <w:pPr>
        <w:rPr>
          <w:sz w:val="24"/>
          <w:szCs w:val="24"/>
        </w:rPr>
      </w:pPr>
    </w:p>
    <w:p w:rsidR="000B2C19" w:rsidRDefault="000B2C19" w:rsidP="002A5F57">
      <w:pPr>
        <w:rPr>
          <w:sz w:val="24"/>
          <w:szCs w:val="24"/>
        </w:rPr>
      </w:pPr>
      <w:r>
        <w:rPr>
          <w:sz w:val="24"/>
          <w:szCs w:val="24"/>
        </w:rPr>
        <w:t>School of Business undergraduates are non-traditional</w:t>
      </w:r>
      <w:r w:rsidR="00ED26EF">
        <w:rPr>
          <w:sz w:val="24"/>
          <w:szCs w:val="24"/>
        </w:rPr>
        <w:t xml:space="preserve">, adult degree-seekers.  </w:t>
      </w:r>
      <w:r w:rsidR="008319AA">
        <w:rPr>
          <w:sz w:val="24"/>
          <w:szCs w:val="24"/>
        </w:rPr>
        <w:t xml:space="preserve"> While the school has good </w:t>
      </w:r>
      <w:r w:rsidR="00504480">
        <w:rPr>
          <w:sz w:val="24"/>
          <w:szCs w:val="24"/>
        </w:rPr>
        <w:t xml:space="preserve">first-to-third semester </w:t>
      </w:r>
      <w:r>
        <w:rPr>
          <w:sz w:val="24"/>
          <w:szCs w:val="24"/>
        </w:rPr>
        <w:t xml:space="preserve">retention </w:t>
      </w:r>
      <w:r w:rsidR="008319AA">
        <w:rPr>
          <w:sz w:val="24"/>
          <w:szCs w:val="24"/>
        </w:rPr>
        <w:t>rates (</w:t>
      </w:r>
      <w:r w:rsidR="00ED26EF">
        <w:rPr>
          <w:sz w:val="24"/>
          <w:szCs w:val="24"/>
        </w:rPr>
        <w:t>81%</w:t>
      </w:r>
      <w:r w:rsidR="008319AA">
        <w:rPr>
          <w:sz w:val="24"/>
          <w:szCs w:val="24"/>
        </w:rPr>
        <w:t xml:space="preserve">) </w:t>
      </w:r>
      <w:r w:rsidR="00ED26EF">
        <w:rPr>
          <w:sz w:val="24"/>
          <w:szCs w:val="24"/>
        </w:rPr>
        <w:t xml:space="preserve">and </w:t>
      </w:r>
      <w:r w:rsidR="00504480">
        <w:rPr>
          <w:sz w:val="24"/>
          <w:szCs w:val="24"/>
        </w:rPr>
        <w:t xml:space="preserve">eight-year </w:t>
      </w:r>
      <w:r w:rsidR="008319AA">
        <w:rPr>
          <w:sz w:val="24"/>
          <w:szCs w:val="24"/>
        </w:rPr>
        <w:t>graduation rate</w:t>
      </w:r>
      <w:r w:rsidR="00ED26EF">
        <w:rPr>
          <w:sz w:val="24"/>
          <w:szCs w:val="24"/>
        </w:rPr>
        <w:t xml:space="preserve">s </w:t>
      </w:r>
      <w:r w:rsidR="008319AA">
        <w:rPr>
          <w:sz w:val="24"/>
          <w:szCs w:val="24"/>
        </w:rPr>
        <w:t>(</w:t>
      </w:r>
      <w:r w:rsidR="00ED26EF">
        <w:rPr>
          <w:sz w:val="24"/>
          <w:szCs w:val="24"/>
        </w:rPr>
        <w:t>67%</w:t>
      </w:r>
      <w:r w:rsidR="008319AA">
        <w:rPr>
          <w:sz w:val="24"/>
          <w:szCs w:val="24"/>
        </w:rPr>
        <w:t>)</w:t>
      </w:r>
      <w:r w:rsidR="00ED26EF">
        <w:rPr>
          <w:sz w:val="24"/>
          <w:szCs w:val="24"/>
        </w:rPr>
        <w:t xml:space="preserve">, </w:t>
      </w:r>
      <w:r>
        <w:rPr>
          <w:sz w:val="24"/>
          <w:szCs w:val="24"/>
        </w:rPr>
        <w:t>understanding what happens after a student withdraws from our program could, potentially, help</w:t>
      </w:r>
      <w:r w:rsidR="008319AA">
        <w:rPr>
          <w:sz w:val="24"/>
          <w:szCs w:val="24"/>
        </w:rPr>
        <w:t xml:space="preserve"> </w:t>
      </w:r>
      <w:r w:rsidR="0012123A">
        <w:rPr>
          <w:sz w:val="24"/>
          <w:szCs w:val="24"/>
        </w:rPr>
        <w:t>us improve our student success rates</w:t>
      </w:r>
      <w:r>
        <w:rPr>
          <w:sz w:val="24"/>
          <w:szCs w:val="24"/>
        </w:rPr>
        <w:t>.</w:t>
      </w:r>
    </w:p>
    <w:p w:rsidR="00ED26EF" w:rsidRDefault="008319AA" w:rsidP="002A5F5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04480">
        <w:rPr>
          <w:sz w:val="24"/>
          <w:szCs w:val="24"/>
        </w:rPr>
        <w:t>initial group for analysis included all S</w:t>
      </w:r>
      <w:r w:rsidR="0012123A">
        <w:rPr>
          <w:sz w:val="24"/>
          <w:szCs w:val="24"/>
        </w:rPr>
        <w:t xml:space="preserve">chool of </w:t>
      </w:r>
      <w:r w:rsidR="00504480">
        <w:rPr>
          <w:sz w:val="24"/>
          <w:szCs w:val="24"/>
        </w:rPr>
        <w:t>B</w:t>
      </w:r>
      <w:r w:rsidR="0012123A">
        <w:rPr>
          <w:sz w:val="24"/>
          <w:szCs w:val="24"/>
        </w:rPr>
        <w:t>usiness</w:t>
      </w:r>
      <w:r w:rsidR="00504480">
        <w:rPr>
          <w:sz w:val="24"/>
          <w:szCs w:val="24"/>
        </w:rPr>
        <w:t xml:space="preserve"> undergraduate students starting </w:t>
      </w:r>
      <w:r w:rsidR="0012123A">
        <w:rPr>
          <w:sz w:val="24"/>
          <w:szCs w:val="24"/>
        </w:rPr>
        <w:t xml:space="preserve">between </w:t>
      </w:r>
      <w:r w:rsidR="00504480">
        <w:rPr>
          <w:sz w:val="24"/>
          <w:szCs w:val="24"/>
        </w:rPr>
        <w:t xml:space="preserve">Fall 2003 </w:t>
      </w:r>
      <w:r w:rsidR="0012123A">
        <w:rPr>
          <w:sz w:val="24"/>
          <w:szCs w:val="24"/>
        </w:rPr>
        <w:t>and</w:t>
      </w:r>
      <w:r w:rsidR="008F1FEA">
        <w:rPr>
          <w:sz w:val="24"/>
          <w:szCs w:val="24"/>
        </w:rPr>
        <w:t xml:space="preserve"> Spring 2010 who were not enrolled in Spring 2012.  </w:t>
      </w:r>
      <w:r w:rsidR="00ED26EF">
        <w:rPr>
          <w:sz w:val="24"/>
          <w:szCs w:val="24"/>
        </w:rPr>
        <w:t>T</w:t>
      </w:r>
      <w:r w:rsidR="00504480">
        <w:rPr>
          <w:sz w:val="24"/>
          <w:szCs w:val="24"/>
        </w:rPr>
        <w:t>his group</w:t>
      </w:r>
      <w:r w:rsidR="00ED26EF">
        <w:rPr>
          <w:sz w:val="24"/>
          <w:szCs w:val="24"/>
        </w:rPr>
        <w:t xml:space="preserve">, </w:t>
      </w:r>
      <w:r w:rsidR="000B2C19">
        <w:rPr>
          <w:sz w:val="24"/>
          <w:szCs w:val="24"/>
        </w:rPr>
        <w:t>1</w:t>
      </w:r>
      <w:r w:rsidR="00504480">
        <w:rPr>
          <w:sz w:val="24"/>
          <w:szCs w:val="24"/>
        </w:rPr>
        <w:t xml:space="preserve">,191 students, </w:t>
      </w:r>
      <w:r w:rsidR="00ED26EF">
        <w:rPr>
          <w:sz w:val="24"/>
          <w:szCs w:val="24"/>
        </w:rPr>
        <w:t xml:space="preserve">was submitted to the </w:t>
      </w:r>
      <w:r w:rsidR="00504480">
        <w:rPr>
          <w:sz w:val="24"/>
          <w:szCs w:val="24"/>
        </w:rPr>
        <w:t>National Student Clearinghouse</w:t>
      </w:r>
      <w:r w:rsidR="0012123A">
        <w:rPr>
          <w:sz w:val="24"/>
          <w:szCs w:val="24"/>
        </w:rPr>
        <w:t xml:space="preserve"> (NSC)</w:t>
      </w:r>
      <w:r w:rsidR="00504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requesting </w:t>
      </w:r>
      <w:r w:rsidR="00504480">
        <w:rPr>
          <w:sz w:val="24"/>
          <w:szCs w:val="24"/>
        </w:rPr>
        <w:t>subsequent enrollment data</w:t>
      </w:r>
      <w:r w:rsidR="00ED26EF">
        <w:rPr>
          <w:sz w:val="24"/>
          <w:szCs w:val="24"/>
        </w:rPr>
        <w:t xml:space="preserve">.  Only </w:t>
      </w:r>
      <w:r w:rsidR="00504480">
        <w:rPr>
          <w:sz w:val="24"/>
          <w:szCs w:val="24"/>
        </w:rPr>
        <w:t>394 of the</w:t>
      </w:r>
      <w:r>
        <w:rPr>
          <w:sz w:val="24"/>
          <w:szCs w:val="24"/>
        </w:rPr>
        <w:t xml:space="preserve"> 1,191</w:t>
      </w:r>
      <w:r w:rsidR="00504480">
        <w:rPr>
          <w:sz w:val="24"/>
          <w:szCs w:val="24"/>
        </w:rPr>
        <w:t xml:space="preserve"> students (33.1%)</w:t>
      </w:r>
      <w:r w:rsidR="00ED26EF">
        <w:rPr>
          <w:sz w:val="24"/>
          <w:szCs w:val="24"/>
        </w:rPr>
        <w:t xml:space="preserve"> were found in the</w:t>
      </w:r>
      <w:r>
        <w:rPr>
          <w:sz w:val="24"/>
          <w:szCs w:val="24"/>
        </w:rPr>
        <w:t xml:space="preserve"> NSC</w:t>
      </w:r>
      <w:r w:rsidR="00ED26EF">
        <w:rPr>
          <w:sz w:val="24"/>
          <w:szCs w:val="24"/>
        </w:rPr>
        <w:t xml:space="preserve"> database</w:t>
      </w:r>
      <w:r w:rsidR="00504480">
        <w:rPr>
          <w:sz w:val="24"/>
          <w:szCs w:val="24"/>
        </w:rPr>
        <w:t>.</w:t>
      </w:r>
      <w:r w:rsidR="00ED26EF">
        <w:rPr>
          <w:sz w:val="24"/>
          <w:szCs w:val="24"/>
        </w:rPr>
        <w:t xml:space="preserve"> </w:t>
      </w:r>
      <w:r w:rsidR="00504480">
        <w:rPr>
          <w:sz w:val="24"/>
          <w:szCs w:val="24"/>
        </w:rPr>
        <w:t xml:space="preserve"> </w:t>
      </w:r>
      <w:r w:rsidR="00ED26EF">
        <w:rPr>
          <w:sz w:val="24"/>
          <w:szCs w:val="24"/>
        </w:rPr>
        <w:t xml:space="preserve">Because </w:t>
      </w:r>
      <w:r w:rsidR="0012123A">
        <w:rPr>
          <w:sz w:val="24"/>
          <w:szCs w:val="24"/>
        </w:rPr>
        <w:t>an overwhelming majority of schools submit data to the National Student Clearinghouse</w:t>
      </w:r>
      <w:r w:rsidR="00ED26EF">
        <w:rPr>
          <w:sz w:val="24"/>
          <w:szCs w:val="24"/>
        </w:rPr>
        <w:t xml:space="preserve">, we can </w:t>
      </w:r>
      <w:r w:rsidR="00504480">
        <w:rPr>
          <w:sz w:val="24"/>
          <w:szCs w:val="24"/>
        </w:rPr>
        <w:t>conclude that the 797 students not found in the NSC have not been enrolled in another higher education program</w:t>
      </w:r>
      <w:r w:rsidR="00ED26EF">
        <w:rPr>
          <w:sz w:val="24"/>
          <w:szCs w:val="24"/>
        </w:rPr>
        <w:t xml:space="preserve"> in the United States</w:t>
      </w:r>
      <w:r w:rsidR="00504480">
        <w:rPr>
          <w:sz w:val="24"/>
          <w:szCs w:val="24"/>
        </w:rPr>
        <w:t xml:space="preserve">.  </w:t>
      </w:r>
    </w:p>
    <w:p w:rsidR="00504480" w:rsidRDefault="00ED26EF" w:rsidP="002A5F57">
      <w:pPr>
        <w:rPr>
          <w:sz w:val="24"/>
          <w:szCs w:val="24"/>
        </w:rPr>
      </w:pPr>
      <w:r>
        <w:rPr>
          <w:sz w:val="24"/>
          <w:szCs w:val="24"/>
        </w:rPr>
        <w:t>For the 394 students for whom subsequent enrollment information was found</w:t>
      </w:r>
      <w:r w:rsidR="008319AA">
        <w:rPr>
          <w:sz w:val="24"/>
          <w:szCs w:val="24"/>
        </w:rPr>
        <w:t xml:space="preserve"> in the NCS database</w:t>
      </w:r>
      <w:r>
        <w:rPr>
          <w:sz w:val="24"/>
          <w:szCs w:val="24"/>
        </w:rPr>
        <w:t xml:space="preserve">, there was a very even split between those who enrolled in community college and those who continued on to another four-year institution.  </w:t>
      </w:r>
      <w:r w:rsidR="00F36BB1">
        <w:rPr>
          <w:sz w:val="24"/>
          <w:szCs w:val="24"/>
        </w:rPr>
        <w:t xml:space="preserve">Table 1 has the breakdown of subsequent enrollment for these 1,191 students.  </w:t>
      </w:r>
    </w:p>
    <w:p w:rsidR="00F36BB1" w:rsidRPr="00F36BB1" w:rsidRDefault="00F36BB1" w:rsidP="00F36BB1">
      <w:pPr>
        <w:jc w:val="center"/>
        <w:rPr>
          <w:b/>
          <w:sz w:val="24"/>
          <w:szCs w:val="24"/>
        </w:rPr>
      </w:pPr>
      <w:r w:rsidRPr="00F36BB1">
        <w:rPr>
          <w:b/>
          <w:sz w:val="24"/>
          <w:szCs w:val="24"/>
        </w:rPr>
        <w:t>Table 1:  Subsequent Enrollment</w:t>
      </w:r>
    </w:p>
    <w:p w:rsidR="005C25BA" w:rsidRDefault="000333FC" w:rsidP="00F36BB1">
      <w:pPr>
        <w:jc w:val="center"/>
        <w:rPr>
          <w:sz w:val="24"/>
          <w:szCs w:val="24"/>
        </w:rPr>
      </w:pPr>
      <w:r w:rsidRPr="000333FC">
        <w:rPr>
          <w:noProof/>
          <w:sz w:val="24"/>
          <w:szCs w:val="24"/>
        </w:rPr>
        <w:drawing>
          <wp:inline distT="0" distB="0" distL="0" distR="0">
            <wp:extent cx="4267200" cy="30670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26EF" w:rsidRDefault="008319AA" w:rsidP="00ED26E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D26EF">
        <w:rPr>
          <w:sz w:val="24"/>
          <w:szCs w:val="24"/>
        </w:rPr>
        <w:t>ooking at the 196 students who subsequently enrolled in a four</w:t>
      </w:r>
      <w:r>
        <w:rPr>
          <w:sz w:val="24"/>
          <w:szCs w:val="24"/>
        </w:rPr>
        <w:t>-</w:t>
      </w:r>
      <w:r w:rsidR="00ED26EF">
        <w:rPr>
          <w:sz w:val="24"/>
          <w:szCs w:val="24"/>
        </w:rPr>
        <w:t xml:space="preserve">year college, Table 2 has the breakdown of the type of college they attended.  </w:t>
      </w:r>
    </w:p>
    <w:p w:rsidR="008F1FEA" w:rsidRDefault="008F1FEA" w:rsidP="008F1FEA">
      <w:pPr>
        <w:jc w:val="center"/>
        <w:rPr>
          <w:b/>
          <w:sz w:val="24"/>
          <w:szCs w:val="24"/>
        </w:rPr>
      </w:pPr>
    </w:p>
    <w:p w:rsidR="00ED26EF" w:rsidRPr="00ED26EF" w:rsidRDefault="0012123A" w:rsidP="008F1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2:  Detail of Four-Year College by T</w:t>
      </w:r>
      <w:r w:rsidR="00ED26EF" w:rsidRPr="00ED26EF">
        <w:rPr>
          <w:b/>
          <w:sz w:val="24"/>
          <w:szCs w:val="24"/>
        </w:rPr>
        <w:t>ype</w:t>
      </w:r>
    </w:p>
    <w:p w:rsidR="00504480" w:rsidRDefault="008F1FEA" w:rsidP="00F36BB1">
      <w:pPr>
        <w:jc w:val="center"/>
        <w:rPr>
          <w:sz w:val="24"/>
          <w:szCs w:val="24"/>
        </w:rPr>
      </w:pPr>
      <w:r w:rsidRPr="008F1FEA">
        <w:rPr>
          <w:noProof/>
          <w:sz w:val="24"/>
          <w:szCs w:val="24"/>
        </w:rPr>
        <w:drawing>
          <wp:inline distT="0" distB="0" distL="0" distR="0">
            <wp:extent cx="3800475" cy="23907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578B" w:rsidRDefault="0012123A" w:rsidP="00F36BB1">
      <w:pPr>
        <w:rPr>
          <w:sz w:val="24"/>
          <w:szCs w:val="24"/>
        </w:rPr>
      </w:pPr>
      <w:r>
        <w:rPr>
          <w:sz w:val="24"/>
          <w:szCs w:val="24"/>
        </w:rPr>
        <w:t>For th</w:t>
      </w:r>
      <w:r w:rsidR="008F1FEA">
        <w:rPr>
          <w:sz w:val="24"/>
          <w:szCs w:val="24"/>
        </w:rPr>
        <w:t>e students</w:t>
      </w:r>
      <w:r>
        <w:rPr>
          <w:sz w:val="24"/>
          <w:szCs w:val="24"/>
        </w:rPr>
        <w:t xml:space="preserve"> </w:t>
      </w:r>
      <w:r w:rsidR="008F1FEA">
        <w:rPr>
          <w:sz w:val="24"/>
          <w:szCs w:val="24"/>
        </w:rPr>
        <w:t xml:space="preserve">attending </w:t>
      </w:r>
      <w:r>
        <w:rPr>
          <w:sz w:val="24"/>
          <w:szCs w:val="24"/>
        </w:rPr>
        <w:t>four-year schools, t</w:t>
      </w:r>
      <w:r w:rsidR="00ED26EF">
        <w:rPr>
          <w:sz w:val="24"/>
          <w:szCs w:val="24"/>
        </w:rPr>
        <w:t xml:space="preserve">he top four schools for subsequent </w:t>
      </w:r>
      <w:r w:rsidR="008F1FEA">
        <w:rPr>
          <w:sz w:val="24"/>
          <w:szCs w:val="24"/>
        </w:rPr>
        <w:t>enrollment</w:t>
      </w:r>
      <w:r w:rsidR="00ED26EF">
        <w:rPr>
          <w:sz w:val="24"/>
          <w:szCs w:val="24"/>
        </w:rPr>
        <w:t xml:space="preserve"> were all for</w:t>
      </w:r>
      <w:r w:rsidR="008F1FEA">
        <w:rPr>
          <w:sz w:val="24"/>
          <w:szCs w:val="24"/>
        </w:rPr>
        <w:t xml:space="preserve">-profit schools.  </w:t>
      </w:r>
      <w:r w:rsidR="001B2235">
        <w:rPr>
          <w:sz w:val="24"/>
          <w:szCs w:val="24"/>
        </w:rPr>
        <w:t xml:space="preserve">Table 3 details all private schools where more than one student subsequently enrolled.  </w:t>
      </w:r>
    </w:p>
    <w:p w:rsidR="001B2235" w:rsidRDefault="001B2235" w:rsidP="001B2235">
      <w:pPr>
        <w:jc w:val="center"/>
        <w:rPr>
          <w:b/>
          <w:sz w:val="24"/>
          <w:szCs w:val="24"/>
        </w:rPr>
      </w:pPr>
      <w:r w:rsidRPr="001B2235">
        <w:rPr>
          <w:b/>
          <w:sz w:val="24"/>
          <w:szCs w:val="24"/>
        </w:rPr>
        <w:t>Table 3:  Subsequent attendance at Private Four-Year Colleges</w:t>
      </w:r>
    </w:p>
    <w:p w:rsidR="001B2235" w:rsidRDefault="00867DE4" w:rsidP="001B2235">
      <w:pPr>
        <w:jc w:val="center"/>
        <w:rPr>
          <w:sz w:val="24"/>
          <w:szCs w:val="24"/>
        </w:rPr>
      </w:pPr>
      <w:r w:rsidRPr="00867DE4">
        <w:rPr>
          <w:noProof/>
          <w:szCs w:val="24"/>
        </w:rPr>
        <w:drawing>
          <wp:inline distT="0" distB="0" distL="0" distR="0">
            <wp:extent cx="2812415" cy="2303145"/>
            <wp:effectExtent l="1905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AA" w:rsidRDefault="008319AA" w:rsidP="008319AA">
      <w:pPr>
        <w:rPr>
          <w:sz w:val="24"/>
          <w:szCs w:val="24"/>
        </w:rPr>
      </w:pPr>
      <w:r>
        <w:rPr>
          <w:sz w:val="24"/>
          <w:szCs w:val="24"/>
        </w:rPr>
        <w:t>Of the 1</w:t>
      </w:r>
      <w:r w:rsidR="0012123A">
        <w:rPr>
          <w:sz w:val="24"/>
          <w:szCs w:val="24"/>
        </w:rPr>
        <w:t>96 students who attended a four-</w:t>
      </w:r>
      <w:r>
        <w:rPr>
          <w:sz w:val="24"/>
          <w:szCs w:val="24"/>
        </w:rPr>
        <w:t xml:space="preserve">year school, 52 </w:t>
      </w:r>
      <w:r w:rsidR="008F7481">
        <w:rPr>
          <w:sz w:val="24"/>
          <w:szCs w:val="24"/>
        </w:rPr>
        <w:t xml:space="preserve">(26.5%) </w:t>
      </w:r>
      <w:r>
        <w:rPr>
          <w:sz w:val="24"/>
          <w:szCs w:val="24"/>
        </w:rPr>
        <w:t>received Bachelors of Science or Bachelors of Ar</w:t>
      </w:r>
      <w:r w:rsidR="008F7481">
        <w:rPr>
          <w:sz w:val="24"/>
          <w:szCs w:val="24"/>
        </w:rPr>
        <w:t xml:space="preserve">t degrees.  A large number of these degrees were in business (18) and management (4).  </w:t>
      </w:r>
    </w:p>
    <w:p w:rsidR="0012123A" w:rsidRDefault="008F1FEA" w:rsidP="008319AA">
      <w:pPr>
        <w:rPr>
          <w:sz w:val="24"/>
          <w:szCs w:val="24"/>
        </w:rPr>
      </w:pPr>
      <w:r w:rsidRPr="008F1FEA">
        <w:rPr>
          <w:sz w:val="24"/>
          <w:szCs w:val="24"/>
        </w:rPr>
        <w:t>T</w:t>
      </w:r>
      <w:r w:rsidR="0012123A">
        <w:rPr>
          <w:sz w:val="24"/>
          <w:szCs w:val="24"/>
        </w:rPr>
        <w:t>he information from the National Student Clearinghouse shows us that very few of the students who are not-retained at the School of Business successfully complete their degree elsewhere.  Only 52 of the 1,191 students have received a bachelor’s degree as of August 8</w:t>
      </w:r>
      <w:r w:rsidR="0012123A" w:rsidRPr="008F1FEA">
        <w:rPr>
          <w:sz w:val="24"/>
          <w:szCs w:val="24"/>
        </w:rPr>
        <w:t>th</w:t>
      </w:r>
      <w:r w:rsidR="0012123A">
        <w:rPr>
          <w:sz w:val="24"/>
          <w:szCs w:val="24"/>
        </w:rPr>
        <w:t xml:space="preserve">, 2012.   While students leave for many reasons, we do know that adult degree-completers can continue making progress towards their degree, even if that progress is slow.  It is interesting to note that of more students subsequently enroll in a four-year for-profit school than in a public four-year school.  As California’s public higher education system continues to be financially impacted, this trend may be likely to continue.  </w:t>
      </w:r>
    </w:p>
    <w:sectPr w:rsidR="0012123A" w:rsidSect="008F1FEA">
      <w:headerReference w:type="default" r:id="rId12"/>
      <w:foot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3A" w:rsidRDefault="0012123A" w:rsidP="003274A2">
      <w:pPr>
        <w:spacing w:after="0" w:line="240" w:lineRule="auto"/>
      </w:pPr>
      <w:r>
        <w:separator/>
      </w:r>
    </w:p>
  </w:endnote>
  <w:endnote w:type="continuationSeparator" w:id="0">
    <w:p w:rsidR="0012123A" w:rsidRDefault="0012123A" w:rsidP="003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3A" w:rsidRDefault="0012123A">
    <w:pPr>
      <w:pStyle w:val="Footer"/>
    </w:pPr>
    <w:r>
      <w:t>Institutional Research</w:t>
    </w:r>
    <w:r>
      <w:ptab w:relativeTo="margin" w:alignment="center" w:leader="none"/>
    </w:r>
    <w:r>
      <w:t>8/1</w:t>
    </w:r>
    <w:r w:rsidR="008F1FEA">
      <w:t>7</w:t>
    </w:r>
    <w:r>
      <w:t>/2012</w:t>
    </w:r>
    <w:r>
      <w:ptab w:relativeTo="margin" w:alignment="right" w:leader="none"/>
    </w:r>
    <w:r>
      <w:t xml:space="preserve">Page </w:t>
    </w:r>
    <w:r w:rsidR="00123FCA">
      <w:fldChar w:fldCharType="begin"/>
    </w:r>
    <w:r w:rsidR="00123FCA">
      <w:instrText xml:space="preserve"> PAGE  \* Arabic  \* MERGEFORMAT </w:instrText>
    </w:r>
    <w:r w:rsidR="00123FCA">
      <w:fldChar w:fldCharType="separate"/>
    </w:r>
    <w:r w:rsidR="00123FCA">
      <w:rPr>
        <w:noProof/>
      </w:rPr>
      <w:t>1</w:t>
    </w:r>
    <w:r w:rsidR="00123F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3A" w:rsidRDefault="0012123A" w:rsidP="003274A2">
      <w:pPr>
        <w:spacing w:after="0" w:line="240" w:lineRule="auto"/>
      </w:pPr>
      <w:r>
        <w:separator/>
      </w:r>
    </w:p>
  </w:footnote>
  <w:footnote w:type="continuationSeparator" w:id="0">
    <w:p w:rsidR="0012123A" w:rsidRDefault="0012123A" w:rsidP="0032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3A" w:rsidRDefault="0012123A">
    <w:pPr>
      <w:pStyle w:val="Header"/>
    </w:pPr>
    <w:r>
      <w:t>UoR Scanner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multilevel"/>
    <w:tmpl w:val="C2DAB680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00" w:hanging="90"/>
      </w:pPr>
    </w:lvl>
    <w:lvl w:ilvl="3">
      <w:start w:val="1"/>
      <w:numFmt w:val="lowerLetter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">
    <w:nsid w:val="04847984"/>
    <w:multiLevelType w:val="hybridMultilevel"/>
    <w:tmpl w:val="24CAE15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8AC6275"/>
    <w:multiLevelType w:val="hybridMultilevel"/>
    <w:tmpl w:val="EE9A495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9702DF7"/>
    <w:multiLevelType w:val="hybridMultilevel"/>
    <w:tmpl w:val="D52A4850"/>
    <w:lvl w:ilvl="0" w:tplc="76028E5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9C336DF"/>
    <w:multiLevelType w:val="hybridMultilevel"/>
    <w:tmpl w:val="6FAA4C74"/>
    <w:lvl w:ilvl="0" w:tplc="D1F6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63A27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45A9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C95"/>
    <w:multiLevelType w:val="hybridMultilevel"/>
    <w:tmpl w:val="BA5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55E8"/>
    <w:multiLevelType w:val="hybridMultilevel"/>
    <w:tmpl w:val="CB10A324"/>
    <w:lvl w:ilvl="0" w:tplc="8FC28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05708C"/>
    <w:multiLevelType w:val="hybridMultilevel"/>
    <w:tmpl w:val="F34A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12893"/>
    <w:multiLevelType w:val="hybridMultilevel"/>
    <w:tmpl w:val="FBD48D34"/>
    <w:lvl w:ilvl="0" w:tplc="8FC28A4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328389E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5404"/>
    <w:multiLevelType w:val="hybridMultilevel"/>
    <w:tmpl w:val="A6CE9E52"/>
    <w:lvl w:ilvl="0" w:tplc="2E8C1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036B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B509F"/>
    <w:multiLevelType w:val="hybridMultilevel"/>
    <w:tmpl w:val="F30A65A4"/>
    <w:lvl w:ilvl="0" w:tplc="F68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0D41E4"/>
    <w:multiLevelType w:val="hybridMultilevel"/>
    <w:tmpl w:val="113CAA8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B0848B2"/>
    <w:multiLevelType w:val="hybridMultilevel"/>
    <w:tmpl w:val="353E11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0D06"/>
    <w:multiLevelType w:val="hybridMultilevel"/>
    <w:tmpl w:val="6FAA4C74"/>
    <w:lvl w:ilvl="0" w:tplc="D1F6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44E97"/>
    <w:multiLevelType w:val="hybridMultilevel"/>
    <w:tmpl w:val="298E893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220851"/>
    <w:multiLevelType w:val="hybridMultilevel"/>
    <w:tmpl w:val="8D80C948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160CD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95568"/>
    <w:multiLevelType w:val="hybridMultilevel"/>
    <w:tmpl w:val="8856EFA8"/>
    <w:lvl w:ilvl="0" w:tplc="930CB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8402DD"/>
    <w:multiLevelType w:val="hybridMultilevel"/>
    <w:tmpl w:val="BAC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37818"/>
    <w:multiLevelType w:val="hybridMultilevel"/>
    <w:tmpl w:val="6FAA4C74"/>
    <w:lvl w:ilvl="0" w:tplc="D1F6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6"/>
  </w:num>
  <w:num w:numId="5">
    <w:abstractNumId w:val="9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6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23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  <w:num w:numId="17">
    <w:abstractNumId w:val="24"/>
  </w:num>
  <w:num w:numId="18">
    <w:abstractNumId w:val="18"/>
  </w:num>
  <w:num w:numId="19">
    <w:abstractNumId w:val="22"/>
  </w:num>
  <w:num w:numId="20">
    <w:abstractNumId w:val="15"/>
  </w:num>
  <w:num w:numId="21">
    <w:abstractNumId w:val="17"/>
  </w:num>
  <w:num w:numId="22">
    <w:abstractNumId w:val="20"/>
  </w:num>
  <w:num w:numId="23">
    <w:abstractNumId w:val="21"/>
  </w:num>
  <w:num w:numId="24">
    <w:abstractNumId w:val="0"/>
  </w:num>
  <w:num w:numId="25">
    <w:abstractNumId w:val="14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7"/>
    <w:rsid w:val="00005EB6"/>
    <w:rsid w:val="00017493"/>
    <w:rsid w:val="00027484"/>
    <w:rsid w:val="00030988"/>
    <w:rsid w:val="000328E8"/>
    <w:rsid w:val="000333FC"/>
    <w:rsid w:val="00034F28"/>
    <w:rsid w:val="00035433"/>
    <w:rsid w:val="000464D3"/>
    <w:rsid w:val="00051510"/>
    <w:rsid w:val="00054966"/>
    <w:rsid w:val="000727CF"/>
    <w:rsid w:val="00075269"/>
    <w:rsid w:val="00076B15"/>
    <w:rsid w:val="000772E8"/>
    <w:rsid w:val="00083080"/>
    <w:rsid w:val="000915A7"/>
    <w:rsid w:val="000959FF"/>
    <w:rsid w:val="00096ABD"/>
    <w:rsid w:val="000B1F89"/>
    <w:rsid w:val="000B29C1"/>
    <w:rsid w:val="000B2C19"/>
    <w:rsid w:val="000D4B94"/>
    <w:rsid w:val="000D685D"/>
    <w:rsid w:val="000E5170"/>
    <w:rsid w:val="00103D9B"/>
    <w:rsid w:val="00120795"/>
    <w:rsid w:val="0012123A"/>
    <w:rsid w:val="00121D4E"/>
    <w:rsid w:val="00123FCA"/>
    <w:rsid w:val="00130BA0"/>
    <w:rsid w:val="00137931"/>
    <w:rsid w:val="001500E7"/>
    <w:rsid w:val="00156235"/>
    <w:rsid w:val="00166226"/>
    <w:rsid w:val="00184B28"/>
    <w:rsid w:val="001945D0"/>
    <w:rsid w:val="001A0F39"/>
    <w:rsid w:val="001A7D9E"/>
    <w:rsid w:val="001A7E32"/>
    <w:rsid w:val="001B2235"/>
    <w:rsid w:val="001B640A"/>
    <w:rsid w:val="001B6ECF"/>
    <w:rsid w:val="001C4358"/>
    <w:rsid w:val="001D54FC"/>
    <w:rsid w:val="001D7E6C"/>
    <w:rsid w:val="001E4D25"/>
    <w:rsid w:val="001E5140"/>
    <w:rsid w:val="00200197"/>
    <w:rsid w:val="00200478"/>
    <w:rsid w:val="002038B5"/>
    <w:rsid w:val="00204E54"/>
    <w:rsid w:val="0021257C"/>
    <w:rsid w:val="00227C1D"/>
    <w:rsid w:val="00244858"/>
    <w:rsid w:val="00254B97"/>
    <w:rsid w:val="00261835"/>
    <w:rsid w:val="00263673"/>
    <w:rsid w:val="0027085C"/>
    <w:rsid w:val="00275CDE"/>
    <w:rsid w:val="0028654A"/>
    <w:rsid w:val="002916B9"/>
    <w:rsid w:val="00294D76"/>
    <w:rsid w:val="002A03FD"/>
    <w:rsid w:val="002A5F57"/>
    <w:rsid w:val="002B1A8E"/>
    <w:rsid w:val="002C04CC"/>
    <w:rsid w:val="002C31E4"/>
    <w:rsid w:val="002D5381"/>
    <w:rsid w:val="002D5F0E"/>
    <w:rsid w:val="002D6D79"/>
    <w:rsid w:val="002E4006"/>
    <w:rsid w:val="002E5309"/>
    <w:rsid w:val="002E56ED"/>
    <w:rsid w:val="002E6F92"/>
    <w:rsid w:val="002F3830"/>
    <w:rsid w:val="003042A6"/>
    <w:rsid w:val="003113C7"/>
    <w:rsid w:val="0031215E"/>
    <w:rsid w:val="00321915"/>
    <w:rsid w:val="003274A2"/>
    <w:rsid w:val="00334562"/>
    <w:rsid w:val="00350CF5"/>
    <w:rsid w:val="00352EDE"/>
    <w:rsid w:val="00370FDA"/>
    <w:rsid w:val="0038092B"/>
    <w:rsid w:val="00382DB5"/>
    <w:rsid w:val="00391604"/>
    <w:rsid w:val="00394FF0"/>
    <w:rsid w:val="00397A63"/>
    <w:rsid w:val="003A0FAA"/>
    <w:rsid w:val="003B436F"/>
    <w:rsid w:val="003B5BCC"/>
    <w:rsid w:val="003C56EF"/>
    <w:rsid w:val="003C573A"/>
    <w:rsid w:val="003D3C9A"/>
    <w:rsid w:val="003D5E30"/>
    <w:rsid w:val="003D6640"/>
    <w:rsid w:val="00400B7A"/>
    <w:rsid w:val="0040289E"/>
    <w:rsid w:val="004041A0"/>
    <w:rsid w:val="004111E9"/>
    <w:rsid w:val="004123DE"/>
    <w:rsid w:val="0041325B"/>
    <w:rsid w:val="0041622A"/>
    <w:rsid w:val="00422F26"/>
    <w:rsid w:val="00430389"/>
    <w:rsid w:val="0044053D"/>
    <w:rsid w:val="00446D9E"/>
    <w:rsid w:val="00450866"/>
    <w:rsid w:val="00453F20"/>
    <w:rsid w:val="00460542"/>
    <w:rsid w:val="00461054"/>
    <w:rsid w:val="00464967"/>
    <w:rsid w:val="00480720"/>
    <w:rsid w:val="00483EAF"/>
    <w:rsid w:val="004843F7"/>
    <w:rsid w:val="00493368"/>
    <w:rsid w:val="0049473C"/>
    <w:rsid w:val="00495478"/>
    <w:rsid w:val="004A11DF"/>
    <w:rsid w:val="004B42E4"/>
    <w:rsid w:val="004B72D1"/>
    <w:rsid w:val="004C024F"/>
    <w:rsid w:val="004E1499"/>
    <w:rsid w:val="004E4578"/>
    <w:rsid w:val="004F0D04"/>
    <w:rsid w:val="004F7FBF"/>
    <w:rsid w:val="00500331"/>
    <w:rsid w:val="00504480"/>
    <w:rsid w:val="0050727E"/>
    <w:rsid w:val="00516D5C"/>
    <w:rsid w:val="005206B3"/>
    <w:rsid w:val="0053041B"/>
    <w:rsid w:val="00535C4E"/>
    <w:rsid w:val="00540BC0"/>
    <w:rsid w:val="00553165"/>
    <w:rsid w:val="0055320C"/>
    <w:rsid w:val="00562E9B"/>
    <w:rsid w:val="005635FA"/>
    <w:rsid w:val="00566C21"/>
    <w:rsid w:val="00567D79"/>
    <w:rsid w:val="005910DF"/>
    <w:rsid w:val="00592AB1"/>
    <w:rsid w:val="00593DF1"/>
    <w:rsid w:val="00596818"/>
    <w:rsid w:val="00597C47"/>
    <w:rsid w:val="005A703C"/>
    <w:rsid w:val="005A78A1"/>
    <w:rsid w:val="005B25BB"/>
    <w:rsid w:val="005C25BA"/>
    <w:rsid w:val="005C54C5"/>
    <w:rsid w:val="005D0F2F"/>
    <w:rsid w:val="005D111A"/>
    <w:rsid w:val="005D1AAF"/>
    <w:rsid w:val="005D4197"/>
    <w:rsid w:val="005E340E"/>
    <w:rsid w:val="005F5DEC"/>
    <w:rsid w:val="00602FBF"/>
    <w:rsid w:val="00603164"/>
    <w:rsid w:val="006059F3"/>
    <w:rsid w:val="00614A9E"/>
    <w:rsid w:val="006200EA"/>
    <w:rsid w:val="00634581"/>
    <w:rsid w:val="00635F55"/>
    <w:rsid w:val="00641D73"/>
    <w:rsid w:val="00654855"/>
    <w:rsid w:val="00663DFD"/>
    <w:rsid w:val="0066445E"/>
    <w:rsid w:val="006A26FF"/>
    <w:rsid w:val="006A5ED0"/>
    <w:rsid w:val="006B7F24"/>
    <w:rsid w:val="006C4639"/>
    <w:rsid w:val="006D2C22"/>
    <w:rsid w:val="006D61F1"/>
    <w:rsid w:val="006F074E"/>
    <w:rsid w:val="006F62F0"/>
    <w:rsid w:val="0070353A"/>
    <w:rsid w:val="007061D1"/>
    <w:rsid w:val="007110A4"/>
    <w:rsid w:val="007111D8"/>
    <w:rsid w:val="007149F8"/>
    <w:rsid w:val="00720C5F"/>
    <w:rsid w:val="0073315B"/>
    <w:rsid w:val="00737B5D"/>
    <w:rsid w:val="00742B8E"/>
    <w:rsid w:val="007435AF"/>
    <w:rsid w:val="00746C36"/>
    <w:rsid w:val="00746CA6"/>
    <w:rsid w:val="007515A6"/>
    <w:rsid w:val="00752DDD"/>
    <w:rsid w:val="00753793"/>
    <w:rsid w:val="00771E42"/>
    <w:rsid w:val="00772B60"/>
    <w:rsid w:val="0077519C"/>
    <w:rsid w:val="00776D97"/>
    <w:rsid w:val="00785518"/>
    <w:rsid w:val="00785ED7"/>
    <w:rsid w:val="0078634C"/>
    <w:rsid w:val="007951BC"/>
    <w:rsid w:val="007A0E4C"/>
    <w:rsid w:val="007A7915"/>
    <w:rsid w:val="007B07F3"/>
    <w:rsid w:val="007B7AB6"/>
    <w:rsid w:val="007D025E"/>
    <w:rsid w:val="007D5F24"/>
    <w:rsid w:val="007E1E65"/>
    <w:rsid w:val="007E5957"/>
    <w:rsid w:val="007F05A6"/>
    <w:rsid w:val="007F4502"/>
    <w:rsid w:val="007F7DB0"/>
    <w:rsid w:val="00815414"/>
    <w:rsid w:val="00815C3D"/>
    <w:rsid w:val="008319AA"/>
    <w:rsid w:val="00841127"/>
    <w:rsid w:val="008448B5"/>
    <w:rsid w:val="00850B87"/>
    <w:rsid w:val="00861781"/>
    <w:rsid w:val="008629D0"/>
    <w:rsid w:val="00867DE4"/>
    <w:rsid w:val="00873F1F"/>
    <w:rsid w:val="00880908"/>
    <w:rsid w:val="008829E9"/>
    <w:rsid w:val="00894273"/>
    <w:rsid w:val="00897D8B"/>
    <w:rsid w:val="008B299A"/>
    <w:rsid w:val="008B68CA"/>
    <w:rsid w:val="008C62BA"/>
    <w:rsid w:val="008C7068"/>
    <w:rsid w:val="008C70E9"/>
    <w:rsid w:val="008D2A58"/>
    <w:rsid w:val="008E60BA"/>
    <w:rsid w:val="008E7D67"/>
    <w:rsid w:val="008F1FEA"/>
    <w:rsid w:val="008F7481"/>
    <w:rsid w:val="00900254"/>
    <w:rsid w:val="00902E94"/>
    <w:rsid w:val="009044EE"/>
    <w:rsid w:val="00905AE5"/>
    <w:rsid w:val="009074AD"/>
    <w:rsid w:val="0091708A"/>
    <w:rsid w:val="00920E42"/>
    <w:rsid w:val="00942E28"/>
    <w:rsid w:val="00943E50"/>
    <w:rsid w:val="0095063E"/>
    <w:rsid w:val="00950E8D"/>
    <w:rsid w:val="00953CF2"/>
    <w:rsid w:val="00954FA0"/>
    <w:rsid w:val="00962C4B"/>
    <w:rsid w:val="009929F2"/>
    <w:rsid w:val="009C3E94"/>
    <w:rsid w:val="009C41C7"/>
    <w:rsid w:val="009E0F7B"/>
    <w:rsid w:val="009E185C"/>
    <w:rsid w:val="009E26DA"/>
    <w:rsid w:val="009E37F0"/>
    <w:rsid w:val="009F2B9E"/>
    <w:rsid w:val="00A01684"/>
    <w:rsid w:val="00A03317"/>
    <w:rsid w:val="00A04743"/>
    <w:rsid w:val="00A048E1"/>
    <w:rsid w:val="00A25154"/>
    <w:rsid w:val="00A5474B"/>
    <w:rsid w:val="00A70BA1"/>
    <w:rsid w:val="00A72503"/>
    <w:rsid w:val="00A9354D"/>
    <w:rsid w:val="00AB6C06"/>
    <w:rsid w:val="00AC10BB"/>
    <w:rsid w:val="00AD239D"/>
    <w:rsid w:val="00AE1D63"/>
    <w:rsid w:val="00AE25C4"/>
    <w:rsid w:val="00AE3B05"/>
    <w:rsid w:val="00AE56F9"/>
    <w:rsid w:val="00AF1478"/>
    <w:rsid w:val="00AF1A50"/>
    <w:rsid w:val="00AF36BA"/>
    <w:rsid w:val="00AF4DF5"/>
    <w:rsid w:val="00B0251F"/>
    <w:rsid w:val="00B10F62"/>
    <w:rsid w:val="00B13BD7"/>
    <w:rsid w:val="00B15FB7"/>
    <w:rsid w:val="00B25259"/>
    <w:rsid w:val="00B26314"/>
    <w:rsid w:val="00B46C9F"/>
    <w:rsid w:val="00B47935"/>
    <w:rsid w:val="00B52126"/>
    <w:rsid w:val="00B62A62"/>
    <w:rsid w:val="00B63EAB"/>
    <w:rsid w:val="00B668AA"/>
    <w:rsid w:val="00B718C8"/>
    <w:rsid w:val="00B77ACF"/>
    <w:rsid w:val="00B82985"/>
    <w:rsid w:val="00B8477B"/>
    <w:rsid w:val="00BA1781"/>
    <w:rsid w:val="00BA2099"/>
    <w:rsid w:val="00BB533C"/>
    <w:rsid w:val="00BB7213"/>
    <w:rsid w:val="00BD2794"/>
    <w:rsid w:val="00BE003A"/>
    <w:rsid w:val="00BE3CF2"/>
    <w:rsid w:val="00BF18E8"/>
    <w:rsid w:val="00BF7694"/>
    <w:rsid w:val="00C14CC2"/>
    <w:rsid w:val="00C176B7"/>
    <w:rsid w:val="00C217BD"/>
    <w:rsid w:val="00C33B10"/>
    <w:rsid w:val="00C41C71"/>
    <w:rsid w:val="00C42082"/>
    <w:rsid w:val="00C45E04"/>
    <w:rsid w:val="00C67C30"/>
    <w:rsid w:val="00C850C2"/>
    <w:rsid w:val="00C86A66"/>
    <w:rsid w:val="00C93C4F"/>
    <w:rsid w:val="00C967EC"/>
    <w:rsid w:val="00CB3F17"/>
    <w:rsid w:val="00CB3F26"/>
    <w:rsid w:val="00CB4029"/>
    <w:rsid w:val="00CB4541"/>
    <w:rsid w:val="00CB7C91"/>
    <w:rsid w:val="00CC4CB7"/>
    <w:rsid w:val="00CE1A06"/>
    <w:rsid w:val="00CE5BA0"/>
    <w:rsid w:val="00CE5BCB"/>
    <w:rsid w:val="00CE6AA0"/>
    <w:rsid w:val="00CF3245"/>
    <w:rsid w:val="00D04CAA"/>
    <w:rsid w:val="00D16061"/>
    <w:rsid w:val="00D16895"/>
    <w:rsid w:val="00D174BF"/>
    <w:rsid w:val="00D43B9A"/>
    <w:rsid w:val="00D50D88"/>
    <w:rsid w:val="00D60EA4"/>
    <w:rsid w:val="00D661D9"/>
    <w:rsid w:val="00D663B5"/>
    <w:rsid w:val="00D70DD6"/>
    <w:rsid w:val="00D800EE"/>
    <w:rsid w:val="00D83FBD"/>
    <w:rsid w:val="00D953EE"/>
    <w:rsid w:val="00DB3C64"/>
    <w:rsid w:val="00DB425B"/>
    <w:rsid w:val="00DB42F6"/>
    <w:rsid w:val="00DC15FE"/>
    <w:rsid w:val="00DC2DBC"/>
    <w:rsid w:val="00DC4191"/>
    <w:rsid w:val="00DE1BDC"/>
    <w:rsid w:val="00DE70A8"/>
    <w:rsid w:val="00DE70E7"/>
    <w:rsid w:val="00DF569C"/>
    <w:rsid w:val="00E01C20"/>
    <w:rsid w:val="00E06A55"/>
    <w:rsid w:val="00E07A57"/>
    <w:rsid w:val="00E1027E"/>
    <w:rsid w:val="00E4044F"/>
    <w:rsid w:val="00E47BB3"/>
    <w:rsid w:val="00E61DB2"/>
    <w:rsid w:val="00E62F85"/>
    <w:rsid w:val="00EA080C"/>
    <w:rsid w:val="00EA1D6C"/>
    <w:rsid w:val="00EA7D95"/>
    <w:rsid w:val="00EB23D3"/>
    <w:rsid w:val="00EB512A"/>
    <w:rsid w:val="00EC0611"/>
    <w:rsid w:val="00EC1CE7"/>
    <w:rsid w:val="00EC410F"/>
    <w:rsid w:val="00EC60CE"/>
    <w:rsid w:val="00EC7327"/>
    <w:rsid w:val="00ED26EF"/>
    <w:rsid w:val="00ED3975"/>
    <w:rsid w:val="00ED4B64"/>
    <w:rsid w:val="00EE1797"/>
    <w:rsid w:val="00EE521E"/>
    <w:rsid w:val="00EE61A9"/>
    <w:rsid w:val="00F01D4E"/>
    <w:rsid w:val="00F0578B"/>
    <w:rsid w:val="00F11A55"/>
    <w:rsid w:val="00F1326B"/>
    <w:rsid w:val="00F23B84"/>
    <w:rsid w:val="00F26267"/>
    <w:rsid w:val="00F31F33"/>
    <w:rsid w:val="00F35454"/>
    <w:rsid w:val="00F36BB1"/>
    <w:rsid w:val="00F46996"/>
    <w:rsid w:val="00F6290F"/>
    <w:rsid w:val="00F62D25"/>
    <w:rsid w:val="00F73293"/>
    <w:rsid w:val="00F75BF5"/>
    <w:rsid w:val="00F76417"/>
    <w:rsid w:val="00F85666"/>
    <w:rsid w:val="00F915B8"/>
    <w:rsid w:val="00FB3C78"/>
    <w:rsid w:val="00FB45BD"/>
    <w:rsid w:val="00FC3822"/>
    <w:rsid w:val="00FD315B"/>
    <w:rsid w:val="00FD51FE"/>
    <w:rsid w:val="00FE163A"/>
    <w:rsid w:val="00FF25A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BD"/>
    <w:pPr>
      <w:ind w:left="720"/>
      <w:contextualSpacing/>
    </w:pPr>
  </w:style>
  <w:style w:type="paragraph" w:styleId="ListNumber3">
    <w:name w:val="List Number 3"/>
    <w:basedOn w:val="Normal"/>
    <w:rsid w:val="00096A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A2"/>
  </w:style>
  <w:style w:type="paragraph" w:styleId="Footer">
    <w:name w:val="footer"/>
    <w:basedOn w:val="Normal"/>
    <w:link w:val="FooterChar"/>
    <w:uiPriority w:val="99"/>
    <w:semiHidden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4A2"/>
  </w:style>
  <w:style w:type="paragraph" w:styleId="BalloonText">
    <w:name w:val="Balloon Text"/>
    <w:basedOn w:val="Normal"/>
    <w:link w:val="BalloonTextChar"/>
    <w:uiPriority w:val="99"/>
    <w:semiHidden/>
    <w:unhideWhenUsed/>
    <w:rsid w:val="0032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C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A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0FA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C7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BD"/>
    <w:pPr>
      <w:ind w:left="720"/>
      <w:contextualSpacing/>
    </w:pPr>
  </w:style>
  <w:style w:type="paragraph" w:styleId="ListNumber3">
    <w:name w:val="List Number 3"/>
    <w:basedOn w:val="Normal"/>
    <w:rsid w:val="00096A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A2"/>
  </w:style>
  <w:style w:type="paragraph" w:styleId="Footer">
    <w:name w:val="footer"/>
    <w:basedOn w:val="Normal"/>
    <w:link w:val="FooterChar"/>
    <w:uiPriority w:val="99"/>
    <w:semiHidden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4A2"/>
  </w:style>
  <w:style w:type="paragraph" w:styleId="BalloonText">
    <w:name w:val="Balloon Text"/>
    <w:basedOn w:val="Normal"/>
    <w:link w:val="BalloonTextChar"/>
    <w:uiPriority w:val="99"/>
    <w:semiHidden/>
    <w:unhideWhenUsed/>
    <w:rsid w:val="0032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C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A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0FA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C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Wendy_Mcewen$\Desktop\StudentTracker\SB%20&amp;%20SE%20Not%20Retained%20Summer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Wendy_Mcewen$\Desktop\StudentTracker\SB%20&amp;%20SE%20Not%20Retained%20Summer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Sheet2!$B$8:$B$10</c:f>
              <c:strCache>
                <c:ptCount val="3"/>
                <c:pt idx="0">
                  <c:v>Not Enrolled</c:v>
                </c:pt>
                <c:pt idx="1">
                  <c:v>Community College</c:v>
                </c:pt>
                <c:pt idx="2">
                  <c:v>Four Year College</c:v>
                </c:pt>
              </c:strCache>
            </c:strRef>
          </c:cat>
          <c:val>
            <c:numRef>
              <c:f>Sheet2!$A$8:$A$10</c:f>
              <c:numCache>
                <c:formatCode>General</c:formatCode>
                <c:ptCount val="3"/>
                <c:pt idx="0">
                  <c:v>797</c:v>
                </c:pt>
                <c:pt idx="1">
                  <c:v>198</c:v>
                </c:pt>
                <c:pt idx="2">
                  <c:v>196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Sheet2!$B$12:$B$14</c:f>
              <c:strCache>
                <c:ptCount val="3"/>
                <c:pt idx="0">
                  <c:v>Public </c:v>
                </c:pt>
                <c:pt idx="1">
                  <c:v>For-Profit </c:v>
                </c:pt>
                <c:pt idx="2">
                  <c:v>Not-For-Profit</c:v>
                </c:pt>
              </c:strCache>
            </c:strRef>
          </c:cat>
          <c:val>
            <c:numRef>
              <c:f>Sheet2!$A$12:$A$14</c:f>
              <c:numCache>
                <c:formatCode>General</c:formatCode>
                <c:ptCount val="3"/>
                <c:pt idx="0">
                  <c:v>53</c:v>
                </c:pt>
                <c:pt idx="1">
                  <c:v>69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"/>
        <c:axId val="39072128"/>
        <c:axId val="39073664"/>
      </c:barChart>
      <c:catAx>
        <c:axId val="39072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39073664"/>
        <c:crosses val="autoZero"/>
        <c:auto val="1"/>
        <c:lblAlgn val="ctr"/>
        <c:lblOffset val="100"/>
        <c:noMultiLvlLbl val="0"/>
      </c:catAx>
      <c:valAx>
        <c:axId val="390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7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40D6-07DA-4938-A590-0D44E6BC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Wendy McEwen</cp:lastModifiedBy>
  <cp:revision>2</cp:revision>
  <cp:lastPrinted>2011-05-25T18:11:00Z</cp:lastPrinted>
  <dcterms:created xsi:type="dcterms:W3CDTF">2014-06-05T16:56:00Z</dcterms:created>
  <dcterms:modified xsi:type="dcterms:W3CDTF">2014-06-05T16:56:00Z</dcterms:modified>
</cp:coreProperties>
</file>