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A2" w:rsidRPr="007515A6" w:rsidRDefault="003274A2" w:rsidP="00AF1478">
      <w:pPr>
        <w:spacing w:after="0"/>
        <w:jc w:val="center"/>
        <w:rPr>
          <w:b/>
          <w:sz w:val="32"/>
          <w:szCs w:val="24"/>
        </w:rPr>
      </w:pPr>
      <w:bookmarkStart w:id="0" w:name="_GoBack"/>
      <w:bookmarkEnd w:id="0"/>
      <w:r w:rsidRPr="007515A6">
        <w:rPr>
          <w:b/>
          <w:sz w:val="32"/>
          <w:szCs w:val="24"/>
        </w:rPr>
        <w:t>University of Redlands</w:t>
      </w:r>
    </w:p>
    <w:p w:rsidR="004E264F" w:rsidRPr="007515A6" w:rsidRDefault="00A832F4" w:rsidP="00AF1478">
      <w:pPr>
        <w:spacing w:after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What Happens After The Diploma?</w:t>
      </w:r>
    </w:p>
    <w:p w:rsidR="00AF1478" w:rsidRDefault="004E264F" w:rsidP="00AF1478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Wendy McEwen, </w:t>
      </w:r>
      <w:r w:rsidR="00AF1478" w:rsidRPr="007515A6">
        <w:rPr>
          <w:i/>
          <w:sz w:val="24"/>
          <w:szCs w:val="24"/>
        </w:rPr>
        <w:t>Director of Institutional Research</w:t>
      </w:r>
    </w:p>
    <w:p w:rsidR="004E264F" w:rsidRDefault="004E264F" w:rsidP="00AF1478">
      <w:pPr>
        <w:spacing w:after="0"/>
        <w:jc w:val="center"/>
        <w:rPr>
          <w:i/>
          <w:sz w:val="24"/>
          <w:szCs w:val="24"/>
        </w:rPr>
      </w:pPr>
    </w:p>
    <w:p w:rsidR="00A832F4" w:rsidRPr="00D849BF" w:rsidRDefault="00A832F4" w:rsidP="001D4439">
      <w:pPr>
        <w:spacing w:after="0"/>
        <w:rPr>
          <w:rFonts w:cstheme="minorHAnsi"/>
        </w:rPr>
      </w:pPr>
      <w:r w:rsidRPr="00D849BF">
        <w:rPr>
          <w:rFonts w:cstheme="minorHAnsi"/>
        </w:rPr>
        <w:t>What happens to students who</w:t>
      </w:r>
      <w:r w:rsidR="00DF70A8" w:rsidRPr="00D849BF">
        <w:rPr>
          <w:rFonts w:cstheme="minorHAnsi"/>
        </w:rPr>
        <w:t xml:space="preserve"> successfully complete an undergraduate degree at the </w:t>
      </w:r>
      <w:r w:rsidRPr="00D849BF">
        <w:rPr>
          <w:rFonts w:cstheme="minorHAnsi"/>
        </w:rPr>
        <w:t xml:space="preserve">University of </w:t>
      </w:r>
      <w:r w:rsidR="00DF70A8" w:rsidRPr="00D849BF">
        <w:rPr>
          <w:rFonts w:cstheme="minorHAnsi"/>
        </w:rPr>
        <w:t>Redlands</w:t>
      </w:r>
      <w:r w:rsidRPr="00D849BF">
        <w:rPr>
          <w:rFonts w:cstheme="minorHAnsi"/>
        </w:rPr>
        <w:t xml:space="preserve">?  </w:t>
      </w:r>
      <w:r w:rsidR="00D14478" w:rsidRPr="00D849BF">
        <w:rPr>
          <w:rFonts w:cstheme="minorHAnsi"/>
        </w:rPr>
        <w:t xml:space="preserve">How many graduates continue their education?  </w:t>
      </w:r>
      <w:r w:rsidR="00C35046" w:rsidRPr="00D849BF">
        <w:rPr>
          <w:rFonts w:cstheme="minorHAnsi"/>
        </w:rPr>
        <w:t xml:space="preserve">What </w:t>
      </w:r>
      <w:r w:rsidR="00DF70A8" w:rsidRPr="00D849BF">
        <w:rPr>
          <w:rFonts w:cstheme="minorHAnsi"/>
        </w:rPr>
        <w:t xml:space="preserve">graduate </w:t>
      </w:r>
      <w:r w:rsidR="00C35046" w:rsidRPr="00D849BF">
        <w:rPr>
          <w:rFonts w:cstheme="minorHAnsi"/>
        </w:rPr>
        <w:t>schools are commonly chosen?</w:t>
      </w:r>
      <w:r w:rsidR="00E3690D" w:rsidRPr="00D849BF">
        <w:rPr>
          <w:rFonts w:cstheme="minorHAnsi"/>
        </w:rPr>
        <w:t xml:space="preserve">  What degrees do they pursue?  This report provides answers to some of these questions, and </w:t>
      </w:r>
      <w:r w:rsidR="00B43381">
        <w:rPr>
          <w:rFonts w:cstheme="minorHAnsi"/>
        </w:rPr>
        <w:t>hopes to</w:t>
      </w:r>
      <w:r w:rsidR="00E3690D" w:rsidRPr="00D849BF">
        <w:rPr>
          <w:rFonts w:cstheme="minorHAnsi"/>
        </w:rPr>
        <w:t xml:space="preserve"> generate </w:t>
      </w:r>
      <w:r w:rsidR="009D6C75" w:rsidRPr="00D849BF">
        <w:rPr>
          <w:rFonts w:cstheme="minorHAnsi"/>
        </w:rPr>
        <w:t xml:space="preserve">more </w:t>
      </w:r>
      <w:r w:rsidR="00E3690D" w:rsidRPr="00D849BF">
        <w:rPr>
          <w:rFonts w:cstheme="minorHAnsi"/>
        </w:rPr>
        <w:t xml:space="preserve">discussion about what happens after the diploma.  </w:t>
      </w:r>
    </w:p>
    <w:p w:rsidR="00A832F4" w:rsidRPr="00D849BF" w:rsidRDefault="00A832F4" w:rsidP="001D4439">
      <w:pPr>
        <w:spacing w:after="0"/>
        <w:rPr>
          <w:rFonts w:cstheme="minorHAnsi"/>
        </w:rPr>
      </w:pPr>
    </w:p>
    <w:p w:rsidR="001D4439" w:rsidRPr="00D849BF" w:rsidRDefault="004C7FED" w:rsidP="001D4439">
      <w:pPr>
        <w:spacing w:after="0"/>
        <w:rPr>
          <w:rFonts w:cstheme="minorHAnsi"/>
        </w:rPr>
      </w:pPr>
      <w:r w:rsidRPr="00D849BF">
        <w:rPr>
          <w:rFonts w:cstheme="minorHAnsi"/>
        </w:rPr>
        <w:t>By submitting a query to the National Student Clearinghouse</w:t>
      </w:r>
      <w:r w:rsidR="00D14478" w:rsidRPr="00D849BF">
        <w:rPr>
          <w:rFonts w:cstheme="minorHAnsi"/>
        </w:rPr>
        <w:t xml:space="preserve"> (NSC)</w:t>
      </w:r>
      <w:r w:rsidRPr="00D849BF">
        <w:rPr>
          <w:rFonts w:cstheme="minorHAnsi"/>
        </w:rPr>
        <w:t xml:space="preserve">, </w:t>
      </w:r>
      <w:r w:rsidR="00D14478" w:rsidRPr="00D849BF">
        <w:rPr>
          <w:rFonts w:cstheme="minorHAnsi"/>
        </w:rPr>
        <w:t>I obtained</w:t>
      </w:r>
      <w:r w:rsidRPr="00D849BF">
        <w:rPr>
          <w:rFonts w:cstheme="minorHAnsi"/>
        </w:rPr>
        <w:t xml:space="preserve"> subsequent enrollment information for </w:t>
      </w:r>
      <w:r w:rsidR="00D14478" w:rsidRPr="00D849BF">
        <w:rPr>
          <w:rFonts w:cstheme="minorHAnsi"/>
        </w:rPr>
        <w:t xml:space="preserve">students receiving undergraduate degrees from the College of Arts &amp; Sciences and </w:t>
      </w:r>
      <w:r w:rsidR="006D0D31">
        <w:rPr>
          <w:rFonts w:cstheme="minorHAnsi"/>
        </w:rPr>
        <w:t>t</w:t>
      </w:r>
      <w:r w:rsidR="00D14478" w:rsidRPr="00D849BF">
        <w:rPr>
          <w:rFonts w:cstheme="minorHAnsi"/>
        </w:rPr>
        <w:t>he School of Business from 20</w:t>
      </w:r>
      <w:r w:rsidR="009D6C75" w:rsidRPr="00D849BF">
        <w:rPr>
          <w:rFonts w:cstheme="minorHAnsi"/>
        </w:rPr>
        <w:t>03-2004 through 2011-201</w:t>
      </w:r>
      <w:r w:rsidR="00C16B10">
        <w:rPr>
          <w:rFonts w:cstheme="minorHAnsi"/>
        </w:rPr>
        <w:t xml:space="preserve">2.  </w:t>
      </w:r>
      <w:r w:rsidR="00B43381">
        <w:rPr>
          <w:rFonts w:cstheme="minorHAnsi"/>
        </w:rPr>
        <w:t>T</w:t>
      </w:r>
      <w:r w:rsidR="009D6C75" w:rsidRPr="00D849BF">
        <w:rPr>
          <w:rFonts w:cstheme="minorHAnsi"/>
        </w:rPr>
        <w:t>he National Student Clearinghouse tracks subsequent enrollment</w:t>
      </w:r>
      <w:r w:rsidR="00C16B10">
        <w:rPr>
          <w:rFonts w:cstheme="minorHAnsi"/>
        </w:rPr>
        <w:t xml:space="preserve"> only for </w:t>
      </w:r>
      <w:r w:rsidR="009D6C75" w:rsidRPr="00D849BF">
        <w:rPr>
          <w:rFonts w:cstheme="minorHAnsi"/>
        </w:rPr>
        <w:t>U.S. institutions</w:t>
      </w:r>
      <w:r w:rsidR="00407606" w:rsidRPr="00D849BF">
        <w:rPr>
          <w:rFonts w:cstheme="minorHAnsi"/>
        </w:rPr>
        <w:t xml:space="preserve">.  </w:t>
      </w:r>
      <w:r w:rsidR="00C16B10">
        <w:rPr>
          <w:rFonts w:cstheme="minorHAnsi"/>
        </w:rPr>
        <w:t>Thus, s</w:t>
      </w:r>
      <w:r w:rsidR="009D6C75" w:rsidRPr="00D849BF">
        <w:rPr>
          <w:rFonts w:cstheme="minorHAnsi"/>
        </w:rPr>
        <w:t>tudent</w:t>
      </w:r>
      <w:r w:rsidR="00C16B10">
        <w:rPr>
          <w:rFonts w:cstheme="minorHAnsi"/>
        </w:rPr>
        <w:t>s studying abroad</w:t>
      </w:r>
      <w:r w:rsidR="009D6C75" w:rsidRPr="00D849BF">
        <w:rPr>
          <w:rFonts w:cstheme="minorHAnsi"/>
        </w:rPr>
        <w:t xml:space="preserve"> </w:t>
      </w:r>
      <w:r w:rsidR="00C16B10">
        <w:rPr>
          <w:rFonts w:cstheme="minorHAnsi"/>
        </w:rPr>
        <w:t>can’t be reported</w:t>
      </w:r>
      <w:r w:rsidR="00407606" w:rsidRPr="00D849BF">
        <w:rPr>
          <w:rFonts w:cstheme="minorHAnsi"/>
        </w:rPr>
        <w:t xml:space="preserve">.  </w:t>
      </w:r>
    </w:p>
    <w:p w:rsidR="004C7FED" w:rsidRPr="00D849BF" w:rsidRDefault="004C7FED" w:rsidP="001D4439">
      <w:pPr>
        <w:spacing w:after="0"/>
        <w:rPr>
          <w:rFonts w:cstheme="minorHAnsi"/>
        </w:rPr>
      </w:pPr>
    </w:p>
    <w:p w:rsidR="00A832F4" w:rsidRPr="00D849BF" w:rsidRDefault="00D14478" w:rsidP="001D4439">
      <w:pPr>
        <w:spacing w:after="0"/>
        <w:rPr>
          <w:rFonts w:cstheme="minorHAnsi"/>
        </w:rPr>
      </w:pPr>
      <w:r w:rsidRPr="00D849BF">
        <w:rPr>
          <w:rFonts w:cstheme="minorHAnsi"/>
        </w:rPr>
        <w:t>Tabl</w:t>
      </w:r>
      <w:r w:rsidR="000B0828" w:rsidRPr="00D849BF">
        <w:rPr>
          <w:rFonts w:cstheme="minorHAnsi"/>
        </w:rPr>
        <w:t xml:space="preserve">e 1 provides an overview of the University of Redlands’ results from the </w:t>
      </w:r>
      <w:r w:rsidRPr="00D849BF">
        <w:rPr>
          <w:rFonts w:cstheme="minorHAnsi"/>
        </w:rPr>
        <w:t xml:space="preserve">NSC data.  </w:t>
      </w:r>
      <w:r w:rsidR="00A832F4" w:rsidRPr="00D849BF">
        <w:rPr>
          <w:rFonts w:cstheme="minorHAnsi"/>
        </w:rPr>
        <w:t xml:space="preserve">Overall, 50.0% of College of Arts &amp; Sciences graduates have </w:t>
      </w:r>
      <w:r w:rsidR="00C35046" w:rsidRPr="00D849BF">
        <w:rPr>
          <w:rFonts w:cstheme="minorHAnsi"/>
        </w:rPr>
        <w:t xml:space="preserve">subsequently </w:t>
      </w:r>
      <w:r w:rsidR="00A832F4" w:rsidRPr="00D849BF">
        <w:rPr>
          <w:rFonts w:cstheme="minorHAnsi"/>
        </w:rPr>
        <w:t xml:space="preserve">enrolled in some type of </w:t>
      </w:r>
      <w:r w:rsidR="00C35046" w:rsidRPr="00D849BF">
        <w:rPr>
          <w:rFonts w:cstheme="minorHAnsi"/>
        </w:rPr>
        <w:t xml:space="preserve">higher </w:t>
      </w:r>
      <w:r w:rsidR="00A832F4" w:rsidRPr="00D849BF">
        <w:rPr>
          <w:rFonts w:cstheme="minorHAnsi"/>
        </w:rPr>
        <w:t>education after gradua</w:t>
      </w:r>
      <w:r w:rsidR="000B0828" w:rsidRPr="00D849BF">
        <w:rPr>
          <w:rFonts w:cstheme="minorHAnsi"/>
        </w:rPr>
        <w:t xml:space="preserve">ting from the College.  For </w:t>
      </w:r>
      <w:r w:rsidR="00A832F4" w:rsidRPr="00D849BF">
        <w:rPr>
          <w:rFonts w:cstheme="minorHAnsi"/>
        </w:rPr>
        <w:t xml:space="preserve">School of </w:t>
      </w:r>
      <w:r w:rsidR="007B1EB6" w:rsidRPr="00D849BF">
        <w:rPr>
          <w:rFonts w:cstheme="minorHAnsi"/>
        </w:rPr>
        <w:t>Business</w:t>
      </w:r>
      <w:r w:rsidR="000B0828" w:rsidRPr="00D849BF">
        <w:rPr>
          <w:rFonts w:cstheme="minorHAnsi"/>
        </w:rPr>
        <w:t xml:space="preserve"> graduates</w:t>
      </w:r>
      <w:r w:rsidR="007B1EB6" w:rsidRPr="00D849BF">
        <w:rPr>
          <w:rFonts w:cstheme="minorHAnsi"/>
        </w:rPr>
        <w:t>, th</w:t>
      </w:r>
      <w:r w:rsidR="000B0828" w:rsidRPr="00D849BF">
        <w:rPr>
          <w:rFonts w:cstheme="minorHAnsi"/>
        </w:rPr>
        <w:t>e percentage</w:t>
      </w:r>
      <w:r w:rsidR="007B1EB6" w:rsidRPr="00D849BF">
        <w:rPr>
          <w:rFonts w:cstheme="minorHAnsi"/>
        </w:rPr>
        <w:t xml:space="preserve"> is 35</w:t>
      </w:r>
      <w:r w:rsidR="00A832F4" w:rsidRPr="00D849BF">
        <w:rPr>
          <w:rFonts w:cstheme="minorHAnsi"/>
        </w:rPr>
        <w:t>.</w:t>
      </w:r>
      <w:r w:rsidR="007B1EB6" w:rsidRPr="00D849BF">
        <w:rPr>
          <w:rFonts w:cstheme="minorHAnsi"/>
        </w:rPr>
        <w:t>1</w:t>
      </w:r>
      <w:r w:rsidR="00A832F4" w:rsidRPr="00D849BF">
        <w:rPr>
          <w:rFonts w:cstheme="minorHAnsi"/>
        </w:rPr>
        <w:t xml:space="preserve">%.  </w:t>
      </w:r>
    </w:p>
    <w:p w:rsidR="00A832F4" w:rsidRPr="00D849BF" w:rsidRDefault="00A832F4" w:rsidP="001D4439">
      <w:pPr>
        <w:spacing w:after="0"/>
        <w:rPr>
          <w:rFonts w:cstheme="minorHAnsi"/>
        </w:rPr>
      </w:pPr>
    </w:p>
    <w:p w:rsidR="00A832F4" w:rsidRPr="00D849BF" w:rsidRDefault="00A832F4" w:rsidP="001D4439">
      <w:pPr>
        <w:spacing w:after="0"/>
        <w:rPr>
          <w:rFonts w:cstheme="minorHAnsi"/>
          <w:b/>
        </w:rPr>
      </w:pPr>
      <w:r w:rsidRPr="00D849BF">
        <w:rPr>
          <w:rFonts w:cstheme="minorHAnsi"/>
          <w:b/>
        </w:rPr>
        <w:t xml:space="preserve">Table 1 </w:t>
      </w:r>
      <w:r w:rsidR="00C35046" w:rsidRPr="00D849BF">
        <w:rPr>
          <w:rFonts w:cstheme="minorHAnsi"/>
          <w:b/>
        </w:rPr>
        <w:t>Subsequent Higher Education</w:t>
      </w:r>
      <w:r w:rsidRPr="00D849BF">
        <w:rPr>
          <w:rFonts w:cstheme="minorHAnsi"/>
          <w:b/>
        </w:rPr>
        <w:t xml:space="preserve"> Enrollment</w:t>
      </w:r>
      <w:r w:rsidR="00204CB9" w:rsidRPr="00D849BF">
        <w:rPr>
          <w:rFonts w:cstheme="minorHAnsi"/>
          <w:b/>
        </w:rPr>
        <w:t xml:space="preserve"> </w:t>
      </w:r>
    </w:p>
    <w:p w:rsidR="00A832F4" w:rsidRPr="00D849BF" w:rsidRDefault="007B1EB6" w:rsidP="00A832F4">
      <w:pPr>
        <w:spacing w:after="0"/>
        <w:jc w:val="center"/>
        <w:rPr>
          <w:rFonts w:cstheme="minorHAnsi"/>
        </w:rPr>
      </w:pPr>
      <w:r w:rsidRPr="00D849BF">
        <w:rPr>
          <w:rFonts w:cstheme="minorHAnsi"/>
          <w:noProof/>
        </w:rPr>
        <w:drawing>
          <wp:inline distT="0" distB="0" distL="0" distR="0" wp14:anchorId="59040FA3" wp14:editId="0BD8BC61">
            <wp:extent cx="6793343" cy="358317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705" cy="359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2D" w:rsidRPr="00C16B10" w:rsidRDefault="00C16B10" w:rsidP="00204CB9">
      <w:pPr>
        <w:spacing w:after="0"/>
        <w:rPr>
          <w:rFonts w:cstheme="minorHAnsi"/>
          <w:b/>
          <w:i/>
          <w:sz w:val="20"/>
        </w:rPr>
      </w:pPr>
      <w:r w:rsidRPr="00C16B10">
        <w:rPr>
          <w:rFonts w:cstheme="minorHAnsi"/>
          <w:b/>
          <w:i/>
          <w:sz w:val="20"/>
        </w:rPr>
        <w:t xml:space="preserve">For most of the graduating cohorts, the time needed to complete a PhD has not yet passed, so we do anticipate this number to increase.  </w:t>
      </w:r>
    </w:p>
    <w:p w:rsidR="00C16B10" w:rsidRDefault="00C16B10" w:rsidP="00204CB9">
      <w:pPr>
        <w:spacing w:after="0"/>
        <w:rPr>
          <w:rFonts w:cstheme="minorHAnsi"/>
        </w:rPr>
      </w:pPr>
    </w:p>
    <w:p w:rsidR="00204CB9" w:rsidRPr="00D849BF" w:rsidRDefault="00D1689D" w:rsidP="00204CB9">
      <w:pPr>
        <w:spacing w:after="0"/>
        <w:rPr>
          <w:rFonts w:cstheme="minorHAnsi"/>
        </w:rPr>
      </w:pPr>
      <w:r w:rsidRPr="00D849BF">
        <w:rPr>
          <w:rFonts w:cstheme="minorHAnsi"/>
        </w:rPr>
        <w:t xml:space="preserve">One </w:t>
      </w:r>
      <w:r w:rsidR="000A582D" w:rsidRPr="00D849BF">
        <w:rPr>
          <w:rFonts w:cstheme="minorHAnsi"/>
        </w:rPr>
        <w:t xml:space="preserve">way to look at subsequent enrollment </w:t>
      </w:r>
      <w:r w:rsidR="00D14478" w:rsidRPr="00D849BF">
        <w:rPr>
          <w:rFonts w:cstheme="minorHAnsi"/>
        </w:rPr>
        <w:t xml:space="preserve">data </w:t>
      </w:r>
      <w:r w:rsidR="000A582D" w:rsidRPr="00D849BF">
        <w:rPr>
          <w:rFonts w:cstheme="minorHAnsi"/>
        </w:rPr>
        <w:t>is in the way surveys includ</w:t>
      </w:r>
      <w:r w:rsidR="00204CB9" w:rsidRPr="00D849BF">
        <w:rPr>
          <w:rFonts w:cstheme="minorHAnsi"/>
        </w:rPr>
        <w:t>ing US News &amp; World Reports, the College Boar</w:t>
      </w:r>
      <w:r w:rsidR="000A582D" w:rsidRPr="00D849BF">
        <w:rPr>
          <w:rFonts w:cstheme="minorHAnsi"/>
        </w:rPr>
        <w:t>d, and the Princeton Review ask for information.  These commercial surveys generally ask the questions</w:t>
      </w:r>
      <w:r w:rsidR="00204CB9" w:rsidRPr="00D849BF">
        <w:rPr>
          <w:rFonts w:cstheme="minorHAnsi"/>
        </w:rPr>
        <w:t xml:space="preserve"> in two parts: </w:t>
      </w:r>
    </w:p>
    <w:p w:rsidR="00204CB9" w:rsidRPr="00D849BF" w:rsidRDefault="00204CB9" w:rsidP="00204CB9">
      <w:pPr>
        <w:pStyle w:val="ListParagraph"/>
        <w:numPr>
          <w:ilvl w:val="0"/>
          <w:numId w:val="29"/>
        </w:numPr>
        <w:spacing w:after="0"/>
        <w:rPr>
          <w:rFonts w:cstheme="minorHAnsi"/>
        </w:rPr>
      </w:pPr>
      <w:r w:rsidRPr="00D849BF">
        <w:rPr>
          <w:rFonts w:cstheme="minorHAnsi"/>
        </w:rPr>
        <w:lastRenderedPageBreak/>
        <w:t xml:space="preserve"> How many students pursue a graduate degree within 1 year of graduation?</w:t>
      </w:r>
    </w:p>
    <w:p w:rsidR="00204CB9" w:rsidRPr="00D849BF" w:rsidRDefault="00204CB9" w:rsidP="00204CB9">
      <w:pPr>
        <w:pStyle w:val="ListParagraph"/>
        <w:numPr>
          <w:ilvl w:val="0"/>
          <w:numId w:val="29"/>
        </w:numPr>
        <w:spacing w:after="0"/>
        <w:rPr>
          <w:rFonts w:cstheme="minorHAnsi"/>
        </w:rPr>
      </w:pPr>
      <w:r w:rsidRPr="00D849BF">
        <w:rPr>
          <w:rFonts w:cstheme="minorHAnsi"/>
        </w:rPr>
        <w:t>How many students pursue a graduate degree within 5 years of graduation?</w:t>
      </w:r>
    </w:p>
    <w:p w:rsidR="00204CB9" w:rsidRPr="00D849BF" w:rsidRDefault="00204CB9" w:rsidP="00204CB9">
      <w:pPr>
        <w:spacing w:after="0"/>
        <w:rPr>
          <w:rFonts w:cstheme="minorHAnsi"/>
        </w:rPr>
      </w:pPr>
    </w:p>
    <w:p w:rsidR="00204CB9" w:rsidRPr="00D849BF" w:rsidRDefault="000B0828" w:rsidP="00204CB9">
      <w:pPr>
        <w:spacing w:after="0"/>
        <w:rPr>
          <w:rFonts w:cstheme="minorHAnsi"/>
        </w:rPr>
      </w:pPr>
      <w:r w:rsidRPr="00D849BF">
        <w:rPr>
          <w:rFonts w:cstheme="minorHAnsi"/>
        </w:rPr>
        <w:t xml:space="preserve">Over the past several years, we’ve answered these survey questions using estimates based on </w:t>
      </w:r>
      <w:r w:rsidR="00204CB9" w:rsidRPr="00D849BF">
        <w:rPr>
          <w:rFonts w:cstheme="minorHAnsi"/>
        </w:rPr>
        <w:t xml:space="preserve">a combination of anecdotal and </w:t>
      </w:r>
      <w:r w:rsidR="00D1689D" w:rsidRPr="00D849BF">
        <w:rPr>
          <w:rFonts w:cstheme="minorHAnsi"/>
        </w:rPr>
        <w:t xml:space="preserve">alumni </w:t>
      </w:r>
      <w:r w:rsidR="00204CB9" w:rsidRPr="00D849BF">
        <w:rPr>
          <w:rFonts w:cstheme="minorHAnsi"/>
        </w:rPr>
        <w:t>survey data</w:t>
      </w:r>
      <w:r w:rsidRPr="00D849BF">
        <w:rPr>
          <w:rFonts w:cstheme="minorHAnsi"/>
        </w:rPr>
        <w:t xml:space="preserve">.  We’ve responded that 30% of College students pursue a graduate degree within 1 year of graduation and 50% pursue a graduate degree within 5 years.  The estimates we’ve been using are remarkably close to the actual statistics.  </w:t>
      </w:r>
      <w:r w:rsidR="00204CB9" w:rsidRPr="00D849BF">
        <w:rPr>
          <w:rFonts w:cstheme="minorHAnsi"/>
        </w:rPr>
        <w:t>See Table 2 for the timeframe for subsequent enrollment.</w:t>
      </w:r>
    </w:p>
    <w:p w:rsidR="00204CB9" w:rsidRPr="00D849BF" w:rsidRDefault="00204CB9" w:rsidP="00204CB9">
      <w:pPr>
        <w:spacing w:after="0"/>
        <w:rPr>
          <w:rFonts w:cstheme="minorHAnsi"/>
        </w:rPr>
      </w:pPr>
    </w:p>
    <w:p w:rsidR="00204CB9" w:rsidRPr="00D849BF" w:rsidRDefault="00204CB9" w:rsidP="00204CB9">
      <w:pPr>
        <w:spacing w:after="0"/>
        <w:rPr>
          <w:rFonts w:cstheme="minorHAnsi"/>
          <w:b/>
        </w:rPr>
      </w:pPr>
      <w:r w:rsidRPr="00D849BF">
        <w:rPr>
          <w:rFonts w:cstheme="minorHAnsi"/>
          <w:b/>
        </w:rPr>
        <w:t>Table 2 Subsequent Enrollment by Year</w:t>
      </w:r>
    </w:p>
    <w:p w:rsidR="00204CB9" w:rsidRPr="00D849BF" w:rsidRDefault="007B1EB6" w:rsidP="00204CB9">
      <w:pPr>
        <w:spacing w:after="0"/>
        <w:jc w:val="center"/>
        <w:rPr>
          <w:rFonts w:cstheme="minorHAnsi"/>
        </w:rPr>
      </w:pPr>
      <w:r w:rsidRPr="00D849BF">
        <w:rPr>
          <w:rFonts w:cstheme="minorHAnsi"/>
          <w:noProof/>
        </w:rPr>
        <w:drawing>
          <wp:inline distT="0" distB="0" distL="0" distR="0" wp14:anchorId="14BF98C0" wp14:editId="1553CA7B">
            <wp:extent cx="5901070" cy="744279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985" cy="74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31" w:type="dxa"/>
        <w:tblInd w:w="93" w:type="dxa"/>
        <w:tblLook w:val="04A0" w:firstRow="1" w:lastRow="0" w:firstColumn="1" w:lastColumn="0" w:noHBand="0" w:noVBand="1"/>
      </w:tblPr>
      <w:tblGrid>
        <w:gridCol w:w="9808"/>
      </w:tblGrid>
      <w:tr w:rsidR="00204CB9" w:rsidRPr="00D849BF" w:rsidTr="00A134D4">
        <w:trPr>
          <w:trHeight w:val="329"/>
        </w:trPr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92" w:type="dxa"/>
              <w:tblLook w:val="04A0" w:firstRow="1" w:lastRow="0" w:firstColumn="1" w:lastColumn="0" w:noHBand="0" w:noVBand="1"/>
            </w:tblPr>
            <w:tblGrid>
              <w:gridCol w:w="9592"/>
            </w:tblGrid>
            <w:tr w:rsidR="00204CB9" w:rsidRPr="00D849BF" w:rsidTr="00D849BF">
              <w:trPr>
                <w:trHeight w:val="287"/>
              </w:trPr>
              <w:tc>
                <w:tcPr>
                  <w:tcW w:w="9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CB9" w:rsidRPr="00D849BF" w:rsidRDefault="00204CB9" w:rsidP="00A134D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18"/>
                    </w:rPr>
                  </w:pPr>
                  <w:r w:rsidRPr="00D849B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18"/>
                    </w:rPr>
                    <w:t>*Includes the Within 1 Year Graduates</w:t>
                  </w:r>
                </w:p>
              </w:tc>
            </w:tr>
            <w:tr w:rsidR="00204CB9" w:rsidRPr="00D849BF" w:rsidTr="00D849BF">
              <w:trPr>
                <w:trHeight w:val="287"/>
              </w:trPr>
              <w:tc>
                <w:tcPr>
                  <w:tcW w:w="9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CB9" w:rsidRPr="00D849BF" w:rsidRDefault="00204CB9" w:rsidP="00A134D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18"/>
                    </w:rPr>
                  </w:pPr>
                  <w:r w:rsidRPr="00D849B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18"/>
                    </w:rPr>
                    <w:t xml:space="preserve">**Includes the Within 1 and 5 Year Graduates. </w:t>
                  </w:r>
                </w:p>
              </w:tc>
            </w:tr>
            <w:tr w:rsidR="00204CB9" w:rsidRPr="00D849BF" w:rsidTr="00D849BF">
              <w:trPr>
                <w:trHeight w:val="287"/>
              </w:trPr>
              <w:tc>
                <w:tcPr>
                  <w:tcW w:w="9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CB9" w:rsidRPr="00D849BF" w:rsidRDefault="00204CB9" w:rsidP="00A134D4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18"/>
                    </w:rPr>
                  </w:pPr>
                  <w:r w:rsidRPr="00D849B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18"/>
                    </w:rPr>
                    <w:t xml:space="preserve">Note that the Within 5 Years and More than 5 Years numbers may increase as students </w:t>
                  </w:r>
                  <w:r w:rsidR="0048481C" w:rsidRPr="00D849B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18"/>
                    </w:rPr>
                    <w:t xml:space="preserve">not yet at 5 years post-U of R </w:t>
                  </w:r>
                  <w:r w:rsidRPr="00D849B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18"/>
                    </w:rPr>
                    <w:t xml:space="preserve">subsequently enroll.  </w:t>
                  </w:r>
                </w:p>
              </w:tc>
            </w:tr>
          </w:tbl>
          <w:p w:rsidR="00204CB9" w:rsidRPr="00D849BF" w:rsidRDefault="00204CB9" w:rsidP="00A134D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</w:tr>
      <w:tr w:rsidR="00204CB9" w:rsidRPr="00D849BF" w:rsidTr="00A134D4">
        <w:trPr>
          <w:trHeight w:val="329"/>
        </w:trPr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CB9" w:rsidRPr="00D849BF" w:rsidRDefault="00204CB9" w:rsidP="00A134D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</w:tr>
    </w:tbl>
    <w:p w:rsidR="00983E34" w:rsidRPr="00D849BF" w:rsidRDefault="001B0717" w:rsidP="00983E34">
      <w:pPr>
        <w:spacing w:after="0"/>
        <w:rPr>
          <w:rFonts w:cstheme="minorHAnsi"/>
          <w:b/>
          <w:u w:val="single"/>
        </w:rPr>
      </w:pPr>
      <w:r w:rsidRPr="00D849BF">
        <w:rPr>
          <w:rFonts w:cstheme="minorHAnsi"/>
          <w:b/>
          <w:u w:val="single"/>
        </w:rPr>
        <w:t>College of Arts &amp; Sciences</w:t>
      </w:r>
    </w:p>
    <w:p w:rsidR="00420FD3" w:rsidRPr="00D849BF" w:rsidRDefault="001B0717" w:rsidP="00983E34">
      <w:pPr>
        <w:spacing w:after="0"/>
        <w:rPr>
          <w:rFonts w:cstheme="minorHAnsi"/>
        </w:rPr>
      </w:pPr>
      <w:r w:rsidRPr="00D849BF">
        <w:rPr>
          <w:rFonts w:cstheme="minorHAnsi"/>
        </w:rPr>
        <w:t>For a more in-depth analysis of the College of</w:t>
      </w:r>
      <w:r w:rsidR="00000C97" w:rsidRPr="00D849BF">
        <w:rPr>
          <w:rFonts w:cstheme="minorHAnsi"/>
        </w:rPr>
        <w:t xml:space="preserve"> Arts &amp; Sciences Graduates, I disag</w:t>
      </w:r>
      <w:r w:rsidRPr="00D849BF">
        <w:rPr>
          <w:rFonts w:cstheme="minorHAnsi"/>
        </w:rPr>
        <w:t xml:space="preserve">gregated those </w:t>
      </w:r>
      <w:r w:rsidR="006D0D31">
        <w:rPr>
          <w:rFonts w:cstheme="minorHAnsi"/>
        </w:rPr>
        <w:t xml:space="preserve">students </w:t>
      </w:r>
      <w:r w:rsidRPr="00D849BF">
        <w:rPr>
          <w:rFonts w:cstheme="minorHAnsi"/>
        </w:rPr>
        <w:t>pursuing certificates or teaching credent</w:t>
      </w:r>
      <w:r w:rsidR="00420FD3" w:rsidRPr="00D849BF">
        <w:rPr>
          <w:rFonts w:cstheme="minorHAnsi"/>
        </w:rPr>
        <w:t xml:space="preserve">ials </w:t>
      </w:r>
      <w:r w:rsidR="00000C97" w:rsidRPr="00D849BF">
        <w:rPr>
          <w:rFonts w:cstheme="minorHAnsi"/>
        </w:rPr>
        <w:t xml:space="preserve">(577) </w:t>
      </w:r>
      <w:r w:rsidR="00420FD3" w:rsidRPr="00D849BF">
        <w:rPr>
          <w:rFonts w:cstheme="minorHAnsi"/>
        </w:rPr>
        <w:t>from those students receiving</w:t>
      </w:r>
      <w:r w:rsidR="00595E7E" w:rsidRPr="00D849BF">
        <w:rPr>
          <w:rFonts w:cstheme="minorHAnsi"/>
        </w:rPr>
        <w:t xml:space="preserve"> a</w:t>
      </w:r>
      <w:r w:rsidRPr="00D849BF">
        <w:rPr>
          <w:rFonts w:cstheme="minorHAnsi"/>
        </w:rPr>
        <w:t xml:space="preserve"> Master</w:t>
      </w:r>
      <w:r w:rsidR="000B0828" w:rsidRPr="00D849BF">
        <w:rPr>
          <w:rFonts w:cstheme="minorHAnsi"/>
        </w:rPr>
        <w:t>’</w:t>
      </w:r>
      <w:r w:rsidRPr="00D849BF">
        <w:rPr>
          <w:rFonts w:cstheme="minorHAnsi"/>
        </w:rPr>
        <w:t>s</w:t>
      </w:r>
      <w:r w:rsidR="00420FD3" w:rsidRPr="00D849BF">
        <w:rPr>
          <w:rFonts w:cstheme="minorHAnsi"/>
        </w:rPr>
        <w:t xml:space="preserve"> degree or higher</w:t>
      </w:r>
      <w:r w:rsidR="00000C97" w:rsidRPr="00D849BF">
        <w:rPr>
          <w:rFonts w:cstheme="minorHAnsi"/>
        </w:rPr>
        <w:t xml:space="preserve"> (1839)</w:t>
      </w:r>
      <w:r w:rsidR="00420FD3" w:rsidRPr="00D849BF">
        <w:rPr>
          <w:rFonts w:cstheme="minorHAnsi"/>
        </w:rPr>
        <w:t xml:space="preserve">. </w:t>
      </w:r>
      <w:r w:rsidR="00407606" w:rsidRPr="00D849BF">
        <w:rPr>
          <w:rFonts w:cstheme="minorHAnsi"/>
        </w:rPr>
        <w:t xml:space="preserve"> See Graph 1 for the breakout for</w:t>
      </w:r>
      <w:r w:rsidR="00420FD3" w:rsidRPr="00D849BF">
        <w:rPr>
          <w:rFonts w:cstheme="minorHAnsi"/>
        </w:rPr>
        <w:t xml:space="preserve"> the College. </w:t>
      </w:r>
    </w:p>
    <w:p w:rsidR="00420FD3" w:rsidRPr="00D849BF" w:rsidRDefault="00420FD3" w:rsidP="00983E34">
      <w:pPr>
        <w:spacing w:after="0"/>
        <w:rPr>
          <w:rFonts w:cstheme="minorHAnsi"/>
        </w:rPr>
      </w:pPr>
    </w:p>
    <w:p w:rsidR="00420FD3" w:rsidRPr="00D849BF" w:rsidRDefault="00420FD3" w:rsidP="001F7801">
      <w:pPr>
        <w:spacing w:after="0"/>
        <w:rPr>
          <w:rFonts w:cstheme="minorHAnsi"/>
        </w:rPr>
      </w:pPr>
      <w:r w:rsidRPr="00D849BF">
        <w:rPr>
          <w:rFonts w:cstheme="minorHAnsi"/>
          <w:b/>
        </w:rPr>
        <w:t>Graph 1 Subsequent Enrollment for College of Arts &amp; Sciences</w:t>
      </w:r>
    </w:p>
    <w:p w:rsidR="00420FD3" w:rsidRPr="00D849BF" w:rsidRDefault="00D472A6" w:rsidP="001F7801">
      <w:pPr>
        <w:spacing w:after="0"/>
        <w:jc w:val="center"/>
        <w:rPr>
          <w:rFonts w:cstheme="minorHAnsi"/>
        </w:rPr>
      </w:pPr>
      <w:r w:rsidRPr="00D849BF">
        <w:rPr>
          <w:rFonts w:cstheme="minorHAnsi"/>
          <w:noProof/>
        </w:rPr>
        <w:drawing>
          <wp:inline distT="0" distB="0" distL="0" distR="0" wp14:anchorId="4A8B8429" wp14:editId="6559EA90">
            <wp:extent cx="4944140" cy="2870791"/>
            <wp:effectExtent l="0" t="0" r="2794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49BF" w:rsidRDefault="00D849BF" w:rsidP="00983E34">
      <w:pPr>
        <w:spacing w:after="0"/>
        <w:rPr>
          <w:rFonts w:cstheme="minorHAnsi"/>
        </w:rPr>
      </w:pPr>
    </w:p>
    <w:p w:rsidR="00420FD3" w:rsidRPr="00D849BF" w:rsidRDefault="000A582D" w:rsidP="00983E34">
      <w:pPr>
        <w:spacing w:after="0"/>
        <w:rPr>
          <w:rFonts w:cstheme="minorHAnsi"/>
        </w:rPr>
      </w:pPr>
      <w:r w:rsidRPr="00D849BF">
        <w:rPr>
          <w:rFonts w:cstheme="minorHAnsi"/>
        </w:rPr>
        <w:t xml:space="preserve">The University of </w:t>
      </w:r>
      <w:r w:rsidR="004539C2" w:rsidRPr="00D849BF">
        <w:rPr>
          <w:rFonts w:cstheme="minorHAnsi"/>
        </w:rPr>
        <w:t>Redlands is overwhelmingly the school of choice</w:t>
      </w:r>
      <w:r w:rsidRPr="00D849BF">
        <w:rPr>
          <w:rFonts w:cstheme="minorHAnsi"/>
        </w:rPr>
        <w:t xml:space="preserve"> if a graduate chooses to pursue a teaching credential</w:t>
      </w:r>
      <w:r w:rsidR="004539C2" w:rsidRPr="00D849BF">
        <w:rPr>
          <w:rFonts w:cstheme="minorHAnsi"/>
        </w:rPr>
        <w:t xml:space="preserve">.  </w:t>
      </w:r>
      <w:r w:rsidRPr="00D849BF">
        <w:rPr>
          <w:rFonts w:cstheme="minorHAnsi"/>
        </w:rPr>
        <w:t>Of</w:t>
      </w:r>
      <w:r w:rsidR="004539C2" w:rsidRPr="00D849BF">
        <w:rPr>
          <w:rFonts w:cstheme="minorHAnsi"/>
        </w:rPr>
        <w:t xml:space="preserve"> the 26</w:t>
      </w:r>
      <w:r w:rsidR="00D472A6" w:rsidRPr="00D849BF">
        <w:rPr>
          <w:rFonts w:cstheme="minorHAnsi"/>
        </w:rPr>
        <w:t>2</w:t>
      </w:r>
      <w:r w:rsidR="006D0D31">
        <w:rPr>
          <w:rFonts w:cstheme="minorHAnsi"/>
        </w:rPr>
        <w:t xml:space="preserve"> students who ha</w:t>
      </w:r>
      <w:r w:rsidR="004539C2" w:rsidRPr="00D849BF">
        <w:rPr>
          <w:rFonts w:cstheme="minorHAnsi"/>
        </w:rPr>
        <w:t xml:space="preserve">ve completed their post-undergraduate teaching </w:t>
      </w:r>
      <w:r w:rsidRPr="00D849BF">
        <w:rPr>
          <w:rFonts w:cstheme="minorHAnsi"/>
        </w:rPr>
        <w:t xml:space="preserve">credential, 261 </w:t>
      </w:r>
      <w:r w:rsidR="004539C2" w:rsidRPr="00D849BF">
        <w:rPr>
          <w:rFonts w:cstheme="minorHAnsi"/>
        </w:rPr>
        <w:t xml:space="preserve">did so at the University of Redlands.  </w:t>
      </w:r>
      <w:r w:rsidRPr="00D849BF">
        <w:rPr>
          <w:rFonts w:cstheme="minorHAnsi"/>
        </w:rPr>
        <w:t xml:space="preserve">An additional 81 </w:t>
      </w:r>
      <w:r w:rsidR="000B0828" w:rsidRPr="00D849BF">
        <w:rPr>
          <w:rFonts w:cstheme="minorHAnsi"/>
        </w:rPr>
        <w:t xml:space="preserve">College </w:t>
      </w:r>
      <w:r w:rsidRPr="00D849BF">
        <w:rPr>
          <w:rFonts w:cstheme="minorHAnsi"/>
        </w:rPr>
        <w:t>graduate</w:t>
      </w:r>
      <w:r w:rsidR="001F7801" w:rsidRPr="00D849BF">
        <w:rPr>
          <w:rFonts w:cstheme="minorHAnsi"/>
        </w:rPr>
        <w:t>s</w:t>
      </w:r>
      <w:r w:rsidR="004539C2" w:rsidRPr="00D849BF">
        <w:rPr>
          <w:rFonts w:cstheme="minorHAnsi"/>
        </w:rPr>
        <w:t xml:space="preserve"> have enrolled </w:t>
      </w:r>
      <w:r w:rsidR="00D472A6" w:rsidRPr="00D849BF">
        <w:rPr>
          <w:rFonts w:cstheme="minorHAnsi"/>
        </w:rPr>
        <w:t xml:space="preserve">or </w:t>
      </w:r>
      <w:r w:rsidR="004539C2" w:rsidRPr="00D849BF">
        <w:rPr>
          <w:rFonts w:cstheme="minorHAnsi"/>
        </w:rPr>
        <w:t>are currently enrolled</w:t>
      </w:r>
      <w:r w:rsidR="00D472A6" w:rsidRPr="00D849BF">
        <w:rPr>
          <w:rFonts w:cstheme="minorHAnsi"/>
        </w:rPr>
        <w:t xml:space="preserve"> in our School of Education credential program</w:t>
      </w:r>
      <w:r w:rsidR="004539C2" w:rsidRPr="00D849BF">
        <w:rPr>
          <w:rFonts w:cstheme="minorHAnsi"/>
        </w:rPr>
        <w:t xml:space="preserve">.  </w:t>
      </w:r>
      <w:r w:rsidR="001F7801" w:rsidRPr="00D849BF">
        <w:rPr>
          <w:rFonts w:cstheme="minorHAnsi"/>
        </w:rPr>
        <w:t xml:space="preserve"> </w:t>
      </w:r>
    </w:p>
    <w:p w:rsidR="004539C2" w:rsidRPr="00D849BF" w:rsidRDefault="00000C97" w:rsidP="001D4439">
      <w:pPr>
        <w:spacing w:after="0"/>
        <w:rPr>
          <w:rFonts w:cstheme="minorHAnsi"/>
        </w:rPr>
      </w:pPr>
      <w:r w:rsidRPr="00D849BF">
        <w:rPr>
          <w:rFonts w:cstheme="minorHAnsi"/>
        </w:rPr>
        <w:lastRenderedPageBreak/>
        <w:t>For those seeking at least a Master</w:t>
      </w:r>
      <w:r w:rsidR="000B0828" w:rsidRPr="00D849BF">
        <w:rPr>
          <w:rFonts w:cstheme="minorHAnsi"/>
        </w:rPr>
        <w:t>’</w:t>
      </w:r>
      <w:r w:rsidRPr="00D849BF">
        <w:rPr>
          <w:rFonts w:cstheme="minorHAnsi"/>
        </w:rPr>
        <w:t xml:space="preserve">s degree, </w:t>
      </w:r>
      <w:r w:rsidR="003C6E65" w:rsidRPr="00D849BF">
        <w:rPr>
          <w:rFonts w:cstheme="minorHAnsi"/>
        </w:rPr>
        <w:t xml:space="preserve">Table 3 </w:t>
      </w:r>
      <w:r w:rsidR="007F343D" w:rsidRPr="00D849BF">
        <w:rPr>
          <w:rFonts w:cstheme="minorHAnsi"/>
        </w:rPr>
        <w:t>below</w:t>
      </w:r>
      <w:r w:rsidR="00407606" w:rsidRPr="00D849BF">
        <w:rPr>
          <w:rFonts w:cstheme="minorHAnsi"/>
        </w:rPr>
        <w:t xml:space="preserve"> lists the</w:t>
      </w:r>
      <w:r w:rsidR="000B0828" w:rsidRPr="00D849BF">
        <w:rPr>
          <w:rFonts w:cstheme="minorHAnsi"/>
        </w:rPr>
        <w:t xml:space="preserve"> </w:t>
      </w:r>
      <w:r w:rsidR="00407606" w:rsidRPr="00D849BF">
        <w:rPr>
          <w:rFonts w:cstheme="minorHAnsi"/>
        </w:rPr>
        <w:t>schools where</w:t>
      </w:r>
      <w:r w:rsidR="007F343D" w:rsidRPr="00D849BF">
        <w:rPr>
          <w:rFonts w:cstheme="minorHAnsi"/>
        </w:rPr>
        <w:t xml:space="preserve"> at least 10 graduates</w:t>
      </w:r>
      <w:r w:rsidR="00407606" w:rsidRPr="00D849BF">
        <w:rPr>
          <w:rFonts w:cstheme="minorHAnsi"/>
        </w:rPr>
        <w:t xml:space="preserve"> </w:t>
      </w:r>
      <w:r w:rsidR="000B0828" w:rsidRPr="00D849BF">
        <w:rPr>
          <w:rFonts w:cstheme="minorHAnsi"/>
        </w:rPr>
        <w:t xml:space="preserve">subsequently </w:t>
      </w:r>
      <w:r w:rsidR="00407606" w:rsidRPr="00D849BF">
        <w:rPr>
          <w:rFonts w:cstheme="minorHAnsi"/>
        </w:rPr>
        <w:t>enrolled over the past 10 years</w:t>
      </w:r>
      <w:r w:rsidR="007F343D" w:rsidRPr="00D849BF">
        <w:rPr>
          <w:rFonts w:cstheme="minorHAnsi"/>
        </w:rPr>
        <w:t xml:space="preserve">.  </w:t>
      </w:r>
      <w:r w:rsidR="006C7C29">
        <w:rPr>
          <w:rFonts w:cstheme="minorHAnsi"/>
        </w:rPr>
        <w:t xml:space="preserve">In the table </w:t>
      </w:r>
      <w:r w:rsidR="007F343D" w:rsidRPr="00D849BF">
        <w:rPr>
          <w:rFonts w:cstheme="minorHAnsi"/>
        </w:rPr>
        <w:t xml:space="preserve">California State and University of California schools are listed separately.  Combined, California State </w:t>
      </w:r>
      <w:r w:rsidR="00407606" w:rsidRPr="00D849BF">
        <w:rPr>
          <w:rFonts w:cstheme="minorHAnsi"/>
        </w:rPr>
        <w:t xml:space="preserve">schools </w:t>
      </w:r>
      <w:r w:rsidR="007F343D" w:rsidRPr="00D849BF">
        <w:rPr>
          <w:rFonts w:cstheme="minorHAnsi"/>
        </w:rPr>
        <w:t>account for 115</w:t>
      </w:r>
      <w:r w:rsidR="006C7C29">
        <w:rPr>
          <w:rFonts w:cstheme="minorHAnsi"/>
        </w:rPr>
        <w:t xml:space="preserve"> </w:t>
      </w:r>
      <w:r w:rsidR="00407606" w:rsidRPr="00D849BF">
        <w:rPr>
          <w:rFonts w:cstheme="minorHAnsi"/>
        </w:rPr>
        <w:t>enrollees</w:t>
      </w:r>
      <w:r w:rsidR="006C7C29">
        <w:rPr>
          <w:rFonts w:cstheme="minorHAnsi"/>
        </w:rPr>
        <w:t xml:space="preserve"> (6%) </w:t>
      </w:r>
      <w:r w:rsidR="00407606" w:rsidRPr="00D849BF">
        <w:rPr>
          <w:rFonts w:cstheme="minorHAnsi"/>
        </w:rPr>
        <w:t>and</w:t>
      </w:r>
      <w:r w:rsidR="007F343D" w:rsidRPr="00D849BF">
        <w:rPr>
          <w:rFonts w:cstheme="minorHAnsi"/>
        </w:rPr>
        <w:t xml:space="preserve"> University of California</w:t>
      </w:r>
      <w:r w:rsidR="006C7C29">
        <w:rPr>
          <w:rFonts w:cstheme="minorHAnsi"/>
        </w:rPr>
        <w:t xml:space="preserve"> schools account</w:t>
      </w:r>
      <w:r w:rsidR="007F343D" w:rsidRPr="00D849BF">
        <w:rPr>
          <w:rFonts w:cstheme="minorHAnsi"/>
        </w:rPr>
        <w:t xml:space="preserve"> for 69</w:t>
      </w:r>
      <w:r w:rsidR="006C7C29">
        <w:rPr>
          <w:rFonts w:cstheme="minorHAnsi"/>
        </w:rPr>
        <w:t xml:space="preserve"> enrollees (4%)</w:t>
      </w:r>
      <w:r w:rsidR="007F343D" w:rsidRPr="00D849BF">
        <w:rPr>
          <w:rFonts w:cstheme="minorHAnsi"/>
        </w:rPr>
        <w:t xml:space="preserve">.  </w:t>
      </w:r>
      <w:r w:rsidR="003C6E65" w:rsidRPr="00D849BF">
        <w:rPr>
          <w:rFonts w:cstheme="minorHAnsi"/>
        </w:rPr>
        <w:t xml:space="preserve">  </w:t>
      </w:r>
    </w:p>
    <w:p w:rsidR="004539C2" w:rsidRPr="00D849BF" w:rsidRDefault="004539C2" w:rsidP="001D4439">
      <w:pPr>
        <w:spacing w:after="0"/>
        <w:rPr>
          <w:rFonts w:cstheme="minorHAnsi"/>
        </w:rPr>
      </w:pPr>
    </w:p>
    <w:p w:rsidR="004539C2" w:rsidRPr="00D849BF" w:rsidRDefault="005375C8" w:rsidP="001D4439">
      <w:pPr>
        <w:spacing w:after="0"/>
        <w:rPr>
          <w:rFonts w:cstheme="minorHAnsi"/>
          <w:b/>
        </w:rPr>
      </w:pPr>
      <w:r w:rsidRPr="00D849BF">
        <w:rPr>
          <w:rFonts w:cstheme="minorHAnsi"/>
          <w:b/>
        </w:rPr>
        <w:t xml:space="preserve">Table 3 Graduate Schools </w:t>
      </w:r>
      <w:r w:rsidR="00FF37AD">
        <w:rPr>
          <w:rFonts w:cstheme="minorHAnsi"/>
          <w:b/>
        </w:rPr>
        <w:t xml:space="preserve">chosen by </w:t>
      </w:r>
      <w:r w:rsidR="00FE685D" w:rsidRPr="00D849BF">
        <w:rPr>
          <w:rFonts w:cstheme="minorHAnsi"/>
          <w:b/>
        </w:rPr>
        <w:t>College G</w:t>
      </w:r>
      <w:r w:rsidR="004539C2" w:rsidRPr="00D849BF">
        <w:rPr>
          <w:rFonts w:cstheme="minorHAnsi"/>
          <w:b/>
        </w:rPr>
        <w:t>raduates</w:t>
      </w:r>
    </w:p>
    <w:p w:rsidR="007F343D" w:rsidRPr="00D849BF" w:rsidRDefault="007F343D" w:rsidP="007F343D">
      <w:pPr>
        <w:spacing w:after="0"/>
        <w:jc w:val="center"/>
        <w:rPr>
          <w:rFonts w:cstheme="minorHAnsi"/>
        </w:rPr>
      </w:pPr>
      <w:r w:rsidRPr="00D849BF">
        <w:rPr>
          <w:rFonts w:cstheme="minorHAnsi"/>
          <w:noProof/>
        </w:rPr>
        <w:drawing>
          <wp:inline distT="0" distB="0" distL="0" distR="0" wp14:anchorId="45889611" wp14:editId="23F1D867">
            <wp:extent cx="4476307" cy="6264963"/>
            <wp:effectExtent l="0" t="0" r="63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624" cy="628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BF" w:rsidRDefault="00D849BF" w:rsidP="000A582D">
      <w:pPr>
        <w:spacing w:after="0"/>
        <w:rPr>
          <w:rFonts w:cstheme="minorHAnsi"/>
        </w:rPr>
      </w:pPr>
    </w:p>
    <w:p w:rsidR="000A582D" w:rsidRPr="00D849BF" w:rsidRDefault="00C16B10" w:rsidP="000A582D">
      <w:pPr>
        <w:spacing w:after="0"/>
        <w:rPr>
          <w:rFonts w:cstheme="minorHAnsi"/>
        </w:rPr>
      </w:pPr>
      <w:r>
        <w:rPr>
          <w:rFonts w:cstheme="minorHAnsi"/>
        </w:rPr>
        <w:t>Graph 2</w:t>
      </w:r>
      <w:r w:rsidR="000A582D" w:rsidRPr="00D849BF">
        <w:rPr>
          <w:rFonts w:cstheme="minorHAnsi"/>
        </w:rPr>
        <w:t xml:space="preserve"> lists the degrees awarded for those graduates who have received a </w:t>
      </w:r>
      <w:r w:rsidR="00000C97" w:rsidRPr="00D849BF">
        <w:rPr>
          <w:rFonts w:cstheme="minorHAnsi"/>
        </w:rPr>
        <w:t xml:space="preserve">subsequent </w:t>
      </w:r>
      <w:r w:rsidR="000A582D" w:rsidRPr="00D849BF">
        <w:rPr>
          <w:rFonts w:cstheme="minorHAnsi"/>
        </w:rPr>
        <w:t xml:space="preserve">degree.  </w:t>
      </w:r>
    </w:p>
    <w:p w:rsidR="00D849BF" w:rsidRDefault="00D849BF" w:rsidP="000A582D">
      <w:pPr>
        <w:spacing w:after="0"/>
        <w:rPr>
          <w:rFonts w:cstheme="minorHAnsi"/>
        </w:rPr>
      </w:pPr>
    </w:p>
    <w:p w:rsidR="00D849BF" w:rsidRDefault="00D849BF" w:rsidP="000A582D">
      <w:pPr>
        <w:spacing w:after="0"/>
        <w:rPr>
          <w:rFonts w:cstheme="minorHAnsi"/>
        </w:rPr>
      </w:pPr>
    </w:p>
    <w:p w:rsidR="00D849BF" w:rsidRDefault="00D849BF" w:rsidP="000A582D">
      <w:pPr>
        <w:spacing w:after="0"/>
        <w:rPr>
          <w:rFonts w:cstheme="minorHAnsi"/>
        </w:rPr>
      </w:pPr>
    </w:p>
    <w:p w:rsidR="00D849BF" w:rsidRDefault="00D849BF" w:rsidP="000A582D">
      <w:pPr>
        <w:spacing w:after="0"/>
        <w:rPr>
          <w:rFonts w:cstheme="minorHAnsi"/>
          <w:b/>
        </w:rPr>
      </w:pPr>
    </w:p>
    <w:p w:rsidR="000A582D" w:rsidRPr="00D849BF" w:rsidRDefault="00C16B10" w:rsidP="000A582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Graph 2</w:t>
      </w:r>
      <w:r w:rsidR="000A582D" w:rsidRPr="00D849BF">
        <w:rPr>
          <w:rFonts w:cstheme="minorHAnsi"/>
          <w:b/>
        </w:rPr>
        <w:t xml:space="preserve"> Degrees Completed</w:t>
      </w:r>
      <w:r w:rsidR="000308A2">
        <w:rPr>
          <w:rFonts w:cstheme="minorHAnsi"/>
          <w:b/>
        </w:rPr>
        <w:t xml:space="preserve"> by Percentage</w:t>
      </w:r>
    </w:p>
    <w:p w:rsidR="000A582D" w:rsidRPr="00D849BF" w:rsidRDefault="000308A2" w:rsidP="007F343D">
      <w:pPr>
        <w:spacing w:after="0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BE1F2D5" wp14:editId="3750199B">
            <wp:extent cx="5943600" cy="2608580"/>
            <wp:effectExtent l="0" t="0" r="19050" b="2032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0A582D" w:rsidRPr="00D849BF">
        <w:rPr>
          <w:rFonts w:cstheme="minorHAnsi"/>
        </w:rPr>
        <w:t xml:space="preserve"> </w:t>
      </w:r>
    </w:p>
    <w:p w:rsidR="001D4439" w:rsidRPr="00D849BF" w:rsidRDefault="001D4439" w:rsidP="004539C2">
      <w:pPr>
        <w:spacing w:after="0"/>
        <w:jc w:val="center"/>
        <w:rPr>
          <w:rFonts w:cstheme="minorHAnsi"/>
        </w:rPr>
      </w:pPr>
    </w:p>
    <w:p w:rsidR="001D4439" w:rsidRPr="00D849BF" w:rsidRDefault="004309DA" w:rsidP="001D4439">
      <w:pPr>
        <w:spacing w:after="0"/>
        <w:rPr>
          <w:rFonts w:cstheme="minorHAnsi"/>
          <w:b/>
          <w:u w:val="single"/>
        </w:rPr>
      </w:pPr>
      <w:r w:rsidRPr="00D849BF">
        <w:rPr>
          <w:rFonts w:cstheme="minorHAnsi"/>
          <w:b/>
          <w:u w:val="single"/>
        </w:rPr>
        <w:t>School of Business</w:t>
      </w:r>
    </w:p>
    <w:p w:rsidR="00441168" w:rsidRPr="00D849BF" w:rsidRDefault="00FE685D" w:rsidP="00441168">
      <w:pPr>
        <w:spacing w:after="0"/>
        <w:rPr>
          <w:rFonts w:cstheme="minorHAnsi"/>
        </w:rPr>
      </w:pPr>
      <w:r w:rsidRPr="00D849BF">
        <w:rPr>
          <w:rFonts w:cstheme="minorHAnsi"/>
        </w:rPr>
        <w:t xml:space="preserve">As with the College graduates, I looked at a breakout of degrees for the School of Business graduates.  See Graph </w:t>
      </w:r>
      <w:r w:rsidR="00C16B10">
        <w:rPr>
          <w:rFonts w:cstheme="minorHAnsi"/>
        </w:rPr>
        <w:t>3</w:t>
      </w:r>
      <w:r w:rsidRPr="00D849BF">
        <w:rPr>
          <w:rFonts w:cstheme="minorHAnsi"/>
        </w:rPr>
        <w:t xml:space="preserve"> </w:t>
      </w:r>
      <w:r w:rsidR="00853699">
        <w:rPr>
          <w:rFonts w:cstheme="minorHAnsi"/>
        </w:rPr>
        <w:t>for the breakout of</w:t>
      </w:r>
      <w:r w:rsidR="00000C97" w:rsidRPr="00D849BF">
        <w:rPr>
          <w:rFonts w:cstheme="minorHAnsi"/>
        </w:rPr>
        <w:t xml:space="preserve"> the School of Business</w:t>
      </w:r>
      <w:r w:rsidR="00441168" w:rsidRPr="00D849BF">
        <w:rPr>
          <w:rFonts w:cstheme="minorHAnsi"/>
        </w:rPr>
        <w:t xml:space="preserve">. </w:t>
      </w:r>
    </w:p>
    <w:p w:rsidR="00441168" w:rsidRPr="00D849BF" w:rsidRDefault="00441168" w:rsidP="00441168">
      <w:pPr>
        <w:spacing w:after="0"/>
        <w:rPr>
          <w:rFonts w:cstheme="minorHAnsi"/>
        </w:rPr>
      </w:pPr>
    </w:p>
    <w:p w:rsidR="00441168" w:rsidRPr="00D849BF" w:rsidRDefault="00441168" w:rsidP="00441168">
      <w:pPr>
        <w:spacing w:after="0"/>
        <w:rPr>
          <w:rFonts w:cstheme="minorHAnsi"/>
          <w:b/>
        </w:rPr>
      </w:pPr>
      <w:r w:rsidRPr="00D849BF">
        <w:rPr>
          <w:rFonts w:cstheme="minorHAnsi"/>
          <w:b/>
        </w:rPr>
        <w:t xml:space="preserve">Graph </w:t>
      </w:r>
      <w:r w:rsidR="00C16B10">
        <w:rPr>
          <w:rFonts w:cstheme="minorHAnsi"/>
          <w:b/>
        </w:rPr>
        <w:t>3</w:t>
      </w:r>
      <w:r w:rsidRPr="00D849BF">
        <w:rPr>
          <w:rFonts w:cstheme="minorHAnsi"/>
          <w:b/>
        </w:rPr>
        <w:t xml:space="preserve"> Subsequent Enrollment for </w:t>
      </w:r>
      <w:r w:rsidR="00FE685D" w:rsidRPr="00D849BF">
        <w:rPr>
          <w:rFonts w:cstheme="minorHAnsi"/>
          <w:b/>
        </w:rPr>
        <w:t xml:space="preserve">the School of Business </w:t>
      </w:r>
    </w:p>
    <w:p w:rsidR="00FE685D" w:rsidRPr="00D849BF" w:rsidRDefault="00FE685D" w:rsidP="00FE685D">
      <w:pPr>
        <w:spacing w:after="0"/>
        <w:jc w:val="center"/>
        <w:rPr>
          <w:rFonts w:cstheme="minorHAnsi"/>
        </w:rPr>
      </w:pPr>
      <w:r w:rsidRPr="00D849BF">
        <w:rPr>
          <w:rFonts w:cstheme="minorHAnsi"/>
          <w:noProof/>
        </w:rPr>
        <w:drawing>
          <wp:inline distT="0" distB="0" distL="0" distR="0" wp14:anchorId="24214040" wp14:editId="2AAAABC5">
            <wp:extent cx="5390707" cy="2849526"/>
            <wp:effectExtent l="0" t="0" r="19685" b="2730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E685D" w:rsidRPr="00D849BF" w:rsidRDefault="00FE685D" w:rsidP="00441168">
      <w:pPr>
        <w:spacing w:after="0"/>
        <w:rPr>
          <w:rFonts w:cstheme="minorHAnsi"/>
        </w:rPr>
      </w:pPr>
    </w:p>
    <w:p w:rsidR="001D4439" w:rsidRPr="00D849BF" w:rsidRDefault="00FE685D" w:rsidP="001D4439">
      <w:pPr>
        <w:spacing w:after="0"/>
        <w:rPr>
          <w:rFonts w:cstheme="minorHAnsi"/>
        </w:rPr>
      </w:pPr>
      <w:r w:rsidRPr="00D849BF">
        <w:rPr>
          <w:rFonts w:cstheme="minorHAnsi"/>
        </w:rPr>
        <w:t xml:space="preserve">As with the College graduates, the University of Redlands is the overwhelming top choice for School of Business </w:t>
      </w:r>
      <w:r w:rsidR="00000C97" w:rsidRPr="00D849BF">
        <w:rPr>
          <w:rFonts w:cstheme="minorHAnsi"/>
        </w:rPr>
        <w:t>under</w:t>
      </w:r>
      <w:r w:rsidRPr="00D849BF">
        <w:rPr>
          <w:rFonts w:cstheme="minorHAnsi"/>
        </w:rPr>
        <w:t>graduates who choose to continu</w:t>
      </w:r>
      <w:r w:rsidR="00000C97" w:rsidRPr="00D849BF">
        <w:rPr>
          <w:rFonts w:cstheme="minorHAnsi"/>
        </w:rPr>
        <w:t xml:space="preserve">e on with their education.  </w:t>
      </w:r>
      <w:r w:rsidR="00C16B10">
        <w:rPr>
          <w:rFonts w:cstheme="minorHAnsi"/>
        </w:rPr>
        <w:t>Graph 4</w:t>
      </w:r>
      <w:r w:rsidRPr="00D849BF">
        <w:rPr>
          <w:rFonts w:cstheme="minorHAnsi"/>
        </w:rPr>
        <w:t xml:space="preserve"> list</w:t>
      </w:r>
      <w:r w:rsidR="00000C97" w:rsidRPr="00D849BF">
        <w:rPr>
          <w:rFonts w:cstheme="minorHAnsi"/>
        </w:rPr>
        <w:t>s the</w:t>
      </w:r>
      <w:r w:rsidRPr="00D849BF">
        <w:rPr>
          <w:rFonts w:cstheme="minorHAnsi"/>
        </w:rPr>
        <w:t xml:space="preserve"> schools chosen by </w:t>
      </w:r>
      <w:r w:rsidR="0086090D" w:rsidRPr="00D849BF">
        <w:rPr>
          <w:rFonts w:cstheme="minorHAnsi"/>
        </w:rPr>
        <w:t>at least 5 School of Business g</w:t>
      </w:r>
      <w:r w:rsidRPr="00D849BF">
        <w:rPr>
          <w:rFonts w:cstheme="minorHAnsi"/>
        </w:rPr>
        <w:t xml:space="preserve">raduates.  Note that on this list there are some community colleges.  Graduates attending these schools are most likely receiving a non-degree certificate or are enrolled in other continuing education courses.  </w:t>
      </w:r>
    </w:p>
    <w:p w:rsidR="00FE685D" w:rsidRDefault="00FE685D" w:rsidP="001D4439">
      <w:pPr>
        <w:spacing w:after="0"/>
        <w:rPr>
          <w:rFonts w:cstheme="minorHAnsi"/>
        </w:rPr>
      </w:pPr>
    </w:p>
    <w:p w:rsidR="000308A2" w:rsidRDefault="000308A2" w:rsidP="001D4439">
      <w:pPr>
        <w:spacing w:after="0"/>
        <w:rPr>
          <w:rFonts w:cstheme="minorHAnsi"/>
        </w:rPr>
      </w:pPr>
    </w:p>
    <w:p w:rsidR="000308A2" w:rsidRPr="00D849BF" w:rsidRDefault="000308A2" w:rsidP="001D4439">
      <w:pPr>
        <w:spacing w:after="0"/>
        <w:rPr>
          <w:rFonts w:cstheme="minorHAnsi"/>
        </w:rPr>
      </w:pPr>
    </w:p>
    <w:p w:rsidR="00FE685D" w:rsidRPr="00D849BF" w:rsidRDefault="00C16B10" w:rsidP="001D443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Graph 4</w:t>
      </w:r>
      <w:r w:rsidR="00FE685D" w:rsidRPr="00D849BF">
        <w:rPr>
          <w:rFonts w:cstheme="minorHAnsi"/>
          <w:b/>
        </w:rPr>
        <w:t xml:space="preserve"> Graduate Schools </w:t>
      </w:r>
      <w:r w:rsidR="00FF37AD">
        <w:rPr>
          <w:rFonts w:cstheme="minorHAnsi"/>
          <w:b/>
        </w:rPr>
        <w:t>chosen by Schoo</w:t>
      </w:r>
      <w:r w:rsidR="0086090D" w:rsidRPr="00D849BF">
        <w:rPr>
          <w:rFonts w:cstheme="minorHAnsi"/>
          <w:b/>
        </w:rPr>
        <w:t>l of Business Graduates</w:t>
      </w:r>
    </w:p>
    <w:p w:rsidR="0086090D" w:rsidRPr="00D849BF" w:rsidRDefault="0086090D" w:rsidP="0086090D">
      <w:pPr>
        <w:spacing w:after="0"/>
        <w:jc w:val="center"/>
        <w:rPr>
          <w:rFonts w:cstheme="minorHAnsi"/>
          <w:b/>
        </w:rPr>
      </w:pPr>
      <w:r w:rsidRPr="00D849BF">
        <w:rPr>
          <w:rFonts w:cstheme="minorHAnsi"/>
          <w:noProof/>
        </w:rPr>
        <w:drawing>
          <wp:inline distT="0" distB="0" distL="0" distR="0" wp14:anchorId="708C7A35" wp14:editId="583934B2">
            <wp:extent cx="4859080" cy="3902149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767" cy="390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0D" w:rsidRPr="00D849BF" w:rsidRDefault="00000C97" w:rsidP="001D4439">
      <w:pPr>
        <w:spacing w:after="0"/>
        <w:rPr>
          <w:rFonts w:cstheme="minorHAnsi"/>
        </w:rPr>
      </w:pPr>
      <w:r w:rsidRPr="00D849BF">
        <w:rPr>
          <w:rFonts w:cstheme="minorHAnsi"/>
        </w:rPr>
        <w:t xml:space="preserve">Finally, Table 6 </w:t>
      </w:r>
      <w:r w:rsidR="0086090D" w:rsidRPr="00D849BF">
        <w:rPr>
          <w:rFonts w:cstheme="minorHAnsi"/>
        </w:rPr>
        <w:t>list</w:t>
      </w:r>
      <w:r w:rsidRPr="00D849BF">
        <w:rPr>
          <w:rFonts w:cstheme="minorHAnsi"/>
        </w:rPr>
        <w:t>s the</w:t>
      </w:r>
      <w:r w:rsidR="0086090D" w:rsidRPr="00D849BF">
        <w:rPr>
          <w:rFonts w:cstheme="minorHAnsi"/>
        </w:rPr>
        <w:t xml:space="preserve"> degrees received by School of Business graduates.  As you would expect for students graduating with an undergraduate degree in business, half choose to pursue an MBA.</w:t>
      </w:r>
    </w:p>
    <w:p w:rsidR="00000C97" w:rsidRPr="00D849BF" w:rsidRDefault="00000C97" w:rsidP="001D4439">
      <w:pPr>
        <w:spacing w:after="0"/>
        <w:rPr>
          <w:rFonts w:cstheme="minorHAnsi"/>
          <w:b/>
        </w:rPr>
      </w:pPr>
    </w:p>
    <w:p w:rsidR="0086090D" w:rsidRPr="00D849BF" w:rsidRDefault="0086090D" w:rsidP="001D4439">
      <w:pPr>
        <w:spacing w:after="0"/>
        <w:rPr>
          <w:rFonts w:cstheme="minorHAnsi"/>
        </w:rPr>
      </w:pPr>
      <w:r w:rsidRPr="00D849BF">
        <w:rPr>
          <w:rFonts w:cstheme="minorHAnsi"/>
          <w:b/>
        </w:rPr>
        <w:t>Table 6 Degrees Completed</w:t>
      </w:r>
      <w:r w:rsidR="00523E47">
        <w:rPr>
          <w:rFonts w:cstheme="minorHAnsi"/>
          <w:b/>
        </w:rPr>
        <w:t xml:space="preserve"> by Percentage</w:t>
      </w:r>
    </w:p>
    <w:p w:rsidR="0086090D" w:rsidRDefault="000308A2" w:rsidP="0086090D">
      <w:pPr>
        <w:spacing w:after="0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3EBD120" wp14:editId="1F571AA2">
            <wp:extent cx="5943600" cy="2169041"/>
            <wp:effectExtent l="0" t="0" r="19050" b="222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308A2" w:rsidRPr="00D849BF" w:rsidRDefault="000308A2" w:rsidP="0086090D">
      <w:pPr>
        <w:spacing w:after="0"/>
        <w:jc w:val="center"/>
        <w:rPr>
          <w:rFonts w:cstheme="minorHAnsi"/>
        </w:rPr>
      </w:pPr>
    </w:p>
    <w:p w:rsidR="0086090D" w:rsidRPr="00D849BF" w:rsidRDefault="0086090D" w:rsidP="0086090D">
      <w:pPr>
        <w:spacing w:after="0"/>
        <w:rPr>
          <w:rFonts w:cstheme="minorHAnsi"/>
          <w:b/>
          <w:u w:val="single"/>
        </w:rPr>
      </w:pPr>
      <w:r w:rsidRPr="00D849BF">
        <w:rPr>
          <w:rFonts w:cstheme="minorHAnsi"/>
          <w:b/>
          <w:u w:val="single"/>
        </w:rPr>
        <w:t>Conclusion</w:t>
      </w:r>
    </w:p>
    <w:p w:rsidR="00CB56A5" w:rsidRPr="00D849BF" w:rsidRDefault="0086090D" w:rsidP="0086090D">
      <w:pPr>
        <w:spacing w:after="0"/>
        <w:rPr>
          <w:rFonts w:cstheme="minorHAnsi"/>
        </w:rPr>
      </w:pPr>
      <w:r w:rsidRPr="00D849BF">
        <w:rPr>
          <w:rFonts w:cstheme="minorHAnsi"/>
        </w:rPr>
        <w:t>The data we’ve received from the Nat</w:t>
      </w:r>
      <w:r w:rsidR="00853699">
        <w:rPr>
          <w:rFonts w:cstheme="minorHAnsi"/>
        </w:rPr>
        <w:t xml:space="preserve">ional Student Clearinghouse gives </w:t>
      </w:r>
      <w:r w:rsidRPr="00D849BF">
        <w:rPr>
          <w:rFonts w:cstheme="minorHAnsi"/>
        </w:rPr>
        <w:t xml:space="preserve">valuable insight into what happens after an undergraduate receives a diploma from the University of Redlands.  </w:t>
      </w:r>
      <w:r w:rsidR="00853699">
        <w:rPr>
          <w:rFonts w:cstheme="minorHAnsi"/>
        </w:rPr>
        <w:t xml:space="preserve">Confirming our anecdotal information, </w:t>
      </w:r>
      <w:r w:rsidRPr="00D849BF">
        <w:rPr>
          <w:rFonts w:cstheme="minorHAnsi"/>
        </w:rPr>
        <w:t>graduates are choosing to pursue higher education in a wide variety of fields</w:t>
      </w:r>
      <w:r w:rsidR="001F3253" w:rsidRPr="00D849BF">
        <w:rPr>
          <w:rFonts w:cstheme="minorHAnsi"/>
        </w:rPr>
        <w:t xml:space="preserve"> </w:t>
      </w:r>
      <w:r w:rsidR="00853699">
        <w:rPr>
          <w:rFonts w:cstheme="minorHAnsi"/>
        </w:rPr>
        <w:t>in</w:t>
      </w:r>
      <w:r w:rsidR="001F3253" w:rsidRPr="00D849BF">
        <w:rPr>
          <w:rFonts w:cstheme="minorHAnsi"/>
        </w:rPr>
        <w:t xml:space="preserve"> high numbers</w:t>
      </w:r>
      <w:r w:rsidRPr="00D849BF">
        <w:rPr>
          <w:rFonts w:cstheme="minorHAnsi"/>
        </w:rPr>
        <w:t>.</w:t>
      </w:r>
      <w:r w:rsidR="00000C97" w:rsidRPr="00D849BF">
        <w:rPr>
          <w:rFonts w:cstheme="minorHAnsi"/>
        </w:rPr>
        <w:t xml:space="preserve">  </w:t>
      </w:r>
      <w:r w:rsidR="001F3253" w:rsidRPr="00D849BF">
        <w:rPr>
          <w:rFonts w:cstheme="minorHAnsi"/>
        </w:rPr>
        <w:t xml:space="preserve">Most interestingly, a large majority of undergraduates </w:t>
      </w:r>
      <w:r w:rsidR="00853699">
        <w:rPr>
          <w:rFonts w:cstheme="minorHAnsi"/>
        </w:rPr>
        <w:t>chose to purse their education at t</w:t>
      </w:r>
      <w:r w:rsidR="001F3253" w:rsidRPr="00D849BF">
        <w:rPr>
          <w:rFonts w:cstheme="minorHAnsi"/>
        </w:rPr>
        <w:t xml:space="preserve">he University of Redlands.  </w:t>
      </w:r>
      <w:r w:rsidR="00D849BF">
        <w:rPr>
          <w:rFonts w:cstheme="minorHAnsi"/>
        </w:rPr>
        <w:t>In addition to this summa</w:t>
      </w:r>
      <w:r w:rsidR="00CB56A5" w:rsidRPr="00D849BF">
        <w:rPr>
          <w:rFonts w:cstheme="minorHAnsi"/>
        </w:rPr>
        <w:t>r</w:t>
      </w:r>
      <w:r w:rsidR="00D849BF">
        <w:rPr>
          <w:rFonts w:cstheme="minorHAnsi"/>
        </w:rPr>
        <w:t>y</w:t>
      </w:r>
      <w:r w:rsidR="00853699">
        <w:rPr>
          <w:rFonts w:cstheme="minorHAnsi"/>
        </w:rPr>
        <w:t xml:space="preserve">, </w:t>
      </w:r>
      <w:r w:rsidR="00CB56A5" w:rsidRPr="00D849BF">
        <w:rPr>
          <w:rFonts w:cstheme="minorHAnsi"/>
        </w:rPr>
        <w:t>detailed</w:t>
      </w:r>
      <w:r w:rsidR="00853699">
        <w:rPr>
          <w:rFonts w:cstheme="minorHAnsi"/>
        </w:rPr>
        <w:t xml:space="preserve"> graduate</w:t>
      </w:r>
      <w:r w:rsidR="00CB56A5" w:rsidRPr="00D849BF">
        <w:rPr>
          <w:rFonts w:cstheme="minorHAnsi"/>
        </w:rPr>
        <w:t xml:space="preserve"> data is being distributed at the academic department level as part of the program review data provided by Institutional Research.  </w:t>
      </w:r>
    </w:p>
    <w:sectPr w:rsidR="00CB56A5" w:rsidRPr="00D849BF" w:rsidSect="008371B9">
      <w:headerReference w:type="default" r:id="rId17"/>
      <w:footerReference w:type="default" r:id="rId18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24" w:rsidRDefault="007D5F24" w:rsidP="003274A2">
      <w:pPr>
        <w:spacing w:after="0" w:line="240" w:lineRule="auto"/>
      </w:pPr>
      <w:r>
        <w:separator/>
      </w:r>
    </w:p>
  </w:endnote>
  <w:endnote w:type="continuationSeparator" w:id="0">
    <w:p w:rsidR="007D5F24" w:rsidRDefault="007D5F24" w:rsidP="0032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4" w:rsidRDefault="00A25154">
    <w:pPr>
      <w:pStyle w:val="Footer"/>
    </w:pPr>
    <w:r>
      <w:t>Institutional Research</w:t>
    </w:r>
    <w:r>
      <w:ptab w:relativeTo="margin" w:alignment="center" w:leader="none"/>
    </w:r>
    <w:r w:rsidR="00C16B10">
      <w:t>6</w:t>
    </w:r>
    <w:r w:rsidR="00AF1478">
      <w:t>/</w:t>
    </w:r>
    <w:r w:rsidR="00B1603E">
      <w:t>18</w:t>
    </w:r>
    <w:r w:rsidR="00AF1478">
      <w:t>/201</w:t>
    </w:r>
    <w:r w:rsidR="00C16B10">
      <w:t>3</w:t>
    </w:r>
    <w:r>
      <w:ptab w:relativeTo="margin" w:alignment="right" w:leader="none"/>
    </w:r>
    <w:r w:rsidR="00AF1478">
      <w:t xml:space="preserve">Page </w:t>
    </w:r>
    <w:r w:rsidR="004E264F">
      <w:fldChar w:fldCharType="begin"/>
    </w:r>
    <w:r w:rsidR="004E264F">
      <w:instrText xml:space="preserve"> PAGE  \* Arabic  \* MERGEFORMAT </w:instrText>
    </w:r>
    <w:r w:rsidR="004E264F">
      <w:fldChar w:fldCharType="separate"/>
    </w:r>
    <w:r w:rsidR="002C078F">
      <w:rPr>
        <w:noProof/>
      </w:rPr>
      <w:t>1</w:t>
    </w:r>
    <w:r w:rsidR="004E26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24" w:rsidRDefault="007D5F24" w:rsidP="003274A2">
      <w:pPr>
        <w:spacing w:after="0" w:line="240" w:lineRule="auto"/>
      </w:pPr>
      <w:r>
        <w:separator/>
      </w:r>
    </w:p>
  </w:footnote>
  <w:footnote w:type="continuationSeparator" w:id="0">
    <w:p w:rsidR="007D5F24" w:rsidRDefault="007D5F24" w:rsidP="0032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A6" w:rsidRDefault="00AF1478">
    <w:pPr>
      <w:pStyle w:val="Header"/>
    </w:pPr>
    <w:r>
      <w:t>UoR Scanner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multilevel"/>
    <w:tmpl w:val="C2DAB680"/>
    <w:lvl w:ilvl="0">
      <w:start w:val="1"/>
      <w:numFmt w:val="lowerLetter"/>
      <w:pStyle w:val="ListNumber3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00" w:hanging="90"/>
      </w:pPr>
    </w:lvl>
    <w:lvl w:ilvl="3">
      <w:start w:val="1"/>
      <w:numFmt w:val="lowerLetter"/>
      <w:lvlText w:val="%4."/>
      <w:lvlJc w:val="left"/>
      <w:pPr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rFonts w:hint="default"/>
      </w:rPr>
    </w:lvl>
  </w:abstractNum>
  <w:abstractNum w:abstractNumId="1">
    <w:nsid w:val="04847984"/>
    <w:multiLevelType w:val="hybridMultilevel"/>
    <w:tmpl w:val="24CAE15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87471F9"/>
    <w:multiLevelType w:val="hybridMultilevel"/>
    <w:tmpl w:val="FCBE8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275"/>
    <w:multiLevelType w:val="hybridMultilevel"/>
    <w:tmpl w:val="EE9A4956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9702DF7"/>
    <w:multiLevelType w:val="hybridMultilevel"/>
    <w:tmpl w:val="D52A4850"/>
    <w:lvl w:ilvl="0" w:tplc="76028E58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9C336DF"/>
    <w:multiLevelType w:val="hybridMultilevel"/>
    <w:tmpl w:val="6FAA4C74"/>
    <w:lvl w:ilvl="0" w:tplc="D1F67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63A27"/>
    <w:multiLevelType w:val="hybridMultilevel"/>
    <w:tmpl w:val="11C4DC1C"/>
    <w:lvl w:ilvl="0" w:tplc="7C7E4A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445A9"/>
    <w:multiLevelType w:val="hybridMultilevel"/>
    <w:tmpl w:val="11C4DC1C"/>
    <w:lvl w:ilvl="0" w:tplc="7C7E4A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80C95"/>
    <w:multiLevelType w:val="hybridMultilevel"/>
    <w:tmpl w:val="BA54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55E8"/>
    <w:multiLevelType w:val="hybridMultilevel"/>
    <w:tmpl w:val="CB10A324"/>
    <w:lvl w:ilvl="0" w:tplc="8FC28A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05708C"/>
    <w:multiLevelType w:val="hybridMultilevel"/>
    <w:tmpl w:val="F34A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12893"/>
    <w:multiLevelType w:val="hybridMultilevel"/>
    <w:tmpl w:val="FBD48D34"/>
    <w:lvl w:ilvl="0" w:tplc="8FC28A4C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328389E"/>
    <w:multiLevelType w:val="hybridMultilevel"/>
    <w:tmpl w:val="11C4DC1C"/>
    <w:lvl w:ilvl="0" w:tplc="7C7E4A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E5404"/>
    <w:multiLevelType w:val="hybridMultilevel"/>
    <w:tmpl w:val="A6CE9E52"/>
    <w:lvl w:ilvl="0" w:tplc="2E8C1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036B"/>
    <w:multiLevelType w:val="hybridMultilevel"/>
    <w:tmpl w:val="11C4DC1C"/>
    <w:lvl w:ilvl="0" w:tplc="7C7E4A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B509F"/>
    <w:multiLevelType w:val="hybridMultilevel"/>
    <w:tmpl w:val="F30A65A4"/>
    <w:lvl w:ilvl="0" w:tplc="F68AD3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90D41E4"/>
    <w:multiLevelType w:val="hybridMultilevel"/>
    <w:tmpl w:val="113CAA80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4B0848B2"/>
    <w:multiLevelType w:val="hybridMultilevel"/>
    <w:tmpl w:val="353E111C"/>
    <w:lvl w:ilvl="0" w:tplc="7C7E4A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60D06"/>
    <w:multiLevelType w:val="hybridMultilevel"/>
    <w:tmpl w:val="6FAA4C74"/>
    <w:lvl w:ilvl="0" w:tplc="D1F67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44E97"/>
    <w:multiLevelType w:val="hybridMultilevel"/>
    <w:tmpl w:val="298E8934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220851"/>
    <w:multiLevelType w:val="hybridMultilevel"/>
    <w:tmpl w:val="8D80C948"/>
    <w:lvl w:ilvl="0" w:tplc="7C7E4A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160CD"/>
    <w:multiLevelType w:val="hybridMultilevel"/>
    <w:tmpl w:val="11C4DC1C"/>
    <w:lvl w:ilvl="0" w:tplc="7C7E4A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95568"/>
    <w:multiLevelType w:val="hybridMultilevel"/>
    <w:tmpl w:val="8856EFA8"/>
    <w:lvl w:ilvl="0" w:tplc="930CB9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C8402DD"/>
    <w:multiLevelType w:val="hybridMultilevel"/>
    <w:tmpl w:val="BAC6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37818"/>
    <w:multiLevelType w:val="hybridMultilevel"/>
    <w:tmpl w:val="6FAA4C74"/>
    <w:lvl w:ilvl="0" w:tplc="D1F67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1719C"/>
    <w:multiLevelType w:val="hybridMultilevel"/>
    <w:tmpl w:val="5E985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7"/>
  </w:num>
  <w:num w:numId="5">
    <w:abstractNumId w:val="10"/>
  </w:num>
  <w:num w:numId="6">
    <w:abstractNumId w:val="20"/>
  </w:num>
  <w:num w:numId="7">
    <w:abstractNumId w:val="0"/>
    <w:lvlOverride w:ilvl="0">
      <w:startOverride w:val="1"/>
    </w:lvlOverride>
    <w:lvlOverride w:ilvl="1">
      <w:startOverride w:val="6"/>
    </w:lvlOverride>
  </w:num>
  <w:num w:numId="8">
    <w:abstractNumId w:val="3"/>
  </w:num>
  <w:num w:numId="9">
    <w:abstractNumId w:val="1"/>
  </w:num>
  <w:num w:numId="10">
    <w:abstractNumId w:val="11"/>
  </w:num>
  <w:num w:numId="11">
    <w:abstractNumId w:val="24"/>
  </w:num>
  <w:num w:numId="12">
    <w:abstractNumId w:val="12"/>
  </w:num>
  <w:num w:numId="13">
    <w:abstractNumId w:val="13"/>
  </w:num>
  <w:num w:numId="14">
    <w:abstractNumId w:val="9"/>
  </w:num>
  <w:num w:numId="15">
    <w:abstractNumId w:val="14"/>
  </w:num>
  <w:num w:numId="16">
    <w:abstractNumId w:val="5"/>
  </w:num>
  <w:num w:numId="17">
    <w:abstractNumId w:val="25"/>
  </w:num>
  <w:num w:numId="18">
    <w:abstractNumId w:val="19"/>
  </w:num>
  <w:num w:numId="19">
    <w:abstractNumId w:val="23"/>
  </w:num>
  <w:num w:numId="20">
    <w:abstractNumId w:val="16"/>
  </w:num>
  <w:num w:numId="21">
    <w:abstractNumId w:val="18"/>
  </w:num>
  <w:num w:numId="22">
    <w:abstractNumId w:val="21"/>
  </w:num>
  <w:num w:numId="23">
    <w:abstractNumId w:val="22"/>
  </w:num>
  <w:num w:numId="24">
    <w:abstractNumId w:val="0"/>
  </w:num>
  <w:num w:numId="25">
    <w:abstractNumId w:val="15"/>
  </w:num>
  <w:num w:numId="26">
    <w:abstractNumId w:val="7"/>
  </w:num>
  <w:num w:numId="27">
    <w:abstractNumId w:val="6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27"/>
    <w:rsid w:val="00000C97"/>
    <w:rsid w:val="00005EB6"/>
    <w:rsid w:val="00017493"/>
    <w:rsid w:val="00027484"/>
    <w:rsid w:val="000308A2"/>
    <w:rsid w:val="00030988"/>
    <w:rsid w:val="000328E8"/>
    <w:rsid w:val="00034F28"/>
    <w:rsid w:val="00035433"/>
    <w:rsid w:val="00040EA5"/>
    <w:rsid w:val="000464D3"/>
    <w:rsid w:val="00051510"/>
    <w:rsid w:val="00054966"/>
    <w:rsid w:val="000727CF"/>
    <w:rsid w:val="00075269"/>
    <w:rsid w:val="00076B15"/>
    <w:rsid w:val="000772E8"/>
    <w:rsid w:val="00083080"/>
    <w:rsid w:val="000915A7"/>
    <w:rsid w:val="00094569"/>
    <w:rsid w:val="000959FF"/>
    <w:rsid w:val="00096ABD"/>
    <w:rsid w:val="000A582D"/>
    <w:rsid w:val="000B0828"/>
    <w:rsid w:val="000B1F89"/>
    <w:rsid w:val="000C57DB"/>
    <w:rsid w:val="000D4B94"/>
    <w:rsid w:val="000D685D"/>
    <w:rsid w:val="000E5170"/>
    <w:rsid w:val="000F0B69"/>
    <w:rsid w:val="00103D9B"/>
    <w:rsid w:val="00120795"/>
    <w:rsid w:val="00121D4E"/>
    <w:rsid w:val="00130BA0"/>
    <w:rsid w:val="00137931"/>
    <w:rsid w:val="001500E7"/>
    <w:rsid w:val="00156235"/>
    <w:rsid w:val="00166226"/>
    <w:rsid w:val="00184B28"/>
    <w:rsid w:val="001945D0"/>
    <w:rsid w:val="001A0F39"/>
    <w:rsid w:val="001A7D9E"/>
    <w:rsid w:val="001A7E32"/>
    <w:rsid w:val="001B0717"/>
    <w:rsid w:val="001B488E"/>
    <w:rsid w:val="001B6ECF"/>
    <w:rsid w:val="001C4358"/>
    <w:rsid w:val="001D4439"/>
    <w:rsid w:val="001D54FC"/>
    <w:rsid w:val="001D7E6C"/>
    <w:rsid w:val="001E4D25"/>
    <w:rsid w:val="001E5140"/>
    <w:rsid w:val="001E6A44"/>
    <w:rsid w:val="001F2540"/>
    <w:rsid w:val="001F3253"/>
    <w:rsid w:val="001F7801"/>
    <w:rsid w:val="00200197"/>
    <w:rsid w:val="00200478"/>
    <w:rsid w:val="002038B5"/>
    <w:rsid w:val="00204CB9"/>
    <w:rsid w:val="0021257C"/>
    <w:rsid w:val="00227C1D"/>
    <w:rsid w:val="00244858"/>
    <w:rsid w:val="00254B97"/>
    <w:rsid w:val="00261835"/>
    <w:rsid w:val="00263673"/>
    <w:rsid w:val="0027085C"/>
    <w:rsid w:val="00275CDE"/>
    <w:rsid w:val="0028654A"/>
    <w:rsid w:val="002916B9"/>
    <w:rsid w:val="00294D76"/>
    <w:rsid w:val="002A03FD"/>
    <w:rsid w:val="002A5F57"/>
    <w:rsid w:val="002C04CC"/>
    <w:rsid w:val="002C078F"/>
    <w:rsid w:val="002C31E4"/>
    <w:rsid w:val="002D5381"/>
    <w:rsid w:val="002D5F0E"/>
    <w:rsid w:val="002D6D79"/>
    <w:rsid w:val="002E4006"/>
    <w:rsid w:val="002E5309"/>
    <w:rsid w:val="002E56ED"/>
    <w:rsid w:val="002E6F92"/>
    <w:rsid w:val="002F3830"/>
    <w:rsid w:val="003035CF"/>
    <w:rsid w:val="003042A6"/>
    <w:rsid w:val="00311274"/>
    <w:rsid w:val="003113C7"/>
    <w:rsid w:val="0031215E"/>
    <w:rsid w:val="00321915"/>
    <w:rsid w:val="003274A2"/>
    <w:rsid w:val="00334562"/>
    <w:rsid w:val="00350CF5"/>
    <w:rsid w:val="00352EDE"/>
    <w:rsid w:val="00370FDA"/>
    <w:rsid w:val="00375210"/>
    <w:rsid w:val="0038092B"/>
    <w:rsid w:val="00382DB5"/>
    <w:rsid w:val="00391604"/>
    <w:rsid w:val="00394FF0"/>
    <w:rsid w:val="00397A63"/>
    <w:rsid w:val="003A0FAA"/>
    <w:rsid w:val="003B436F"/>
    <w:rsid w:val="003B5BCC"/>
    <w:rsid w:val="003C56EF"/>
    <w:rsid w:val="003C573A"/>
    <w:rsid w:val="003C6E65"/>
    <w:rsid w:val="003D3C9A"/>
    <w:rsid w:val="003D5E30"/>
    <w:rsid w:val="003D6640"/>
    <w:rsid w:val="00400B7A"/>
    <w:rsid w:val="0040289E"/>
    <w:rsid w:val="00402A5F"/>
    <w:rsid w:val="004041A0"/>
    <w:rsid w:val="00407606"/>
    <w:rsid w:val="004111E9"/>
    <w:rsid w:val="004123DE"/>
    <w:rsid w:val="0041325B"/>
    <w:rsid w:val="0041622A"/>
    <w:rsid w:val="00420FD3"/>
    <w:rsid w:val="00430389"/>
    <w:rsid w:val="004309DA"/>
    <w:rsid w:val="0044053D"/>
    <w:rsid w:val="00441168"/>
    <w:rsid w:val="00450866"/>
    <w:rsid w:val="004539C2"/>
    <w:rsid w:val="00453F20"/>
    <w:rsid w:val="00460542"/>
    <w:rsid w:val="00461054"/>
    <w:rsid w:val="00464967"/>
    <w:rsid w:val="00480720"/>
    <w:rsid w:val="00483EAF"/>
    <w:rsid w:val="004843F7"/>
    <w:rsid w:val="0048481C"/>
    <w:rsid w:val="00493368"/>
    <w:rsid w:val="0049473C"/>
    <w:rsid w:val="00495478"/>
    <w:rsid w:val="004A11DF"/>
    <w:rsid w:val="004B42E4"/>
    <w:rsid w:val="004B72D1"/>
    <w:rsid w:val="004C024F"/>
    <w:rsid w:val="004C7FED"/>
    <w:rsid w:val="004D15D4"/>
    <w:rsid w:val="004E1499"/>
    <w:rsid w:val="004E264F"/>
    <w:rsid w:val="004E4578"/>
    <w:rsid w:val="004F0D04"/>
    <w:rsid w:val="004F7FBF"/>
    <w:rsid w:val="00500331"/>
    <w:rsid w:val="0050727E"/>
    <w:rsid w:val="00516D5C"/>
    <w:rsid w:val="005206B3"/>
    <w:rsid w:val="00523E47"/>
    <w:rsid w:val="0053041B"/>
    <w:rsid w:val="005354CC"/>
    <w:rsid w:val="00535C4E"/>
    <w:rsid w:val="005375C8"/>
    <w:rsid w:val="00540BC0"/>
    <w:rsid w:val="00553165"/>
    <w:rsid w:val="0055320C"/>
    <w:rsid w:val="005635FA"/>
    <w:rsid w:val="00566C21"/>
    <w:rsid w:val="005910DF"/>
    <w:rsid w:val="00591546"/>
    <w:rsid w:val="00592AB1"/>
    <w:rsid w:val="00593DF1"/>
    <w:rsid w:val="00595E7E"/>
    <w:rsid w:val="00596818"/>
    <w:rsid w:val="00597C47"/>
    <w:rsid w:val="005A703C"/>
    <w:rsid w:val="005A78A1"/>
    <w:rsid w:val="005B25BB"/>
    <w:rsid w:val="005C54C5"/>
    <w:rsid w:val="005D0F2F"/>
    <w:rsid w:val="005D111A"/>
    <w:rsid w:val="005D1AAF"/>
    <w:rsid w:val="005D4197"/>
    <w:rsid w:val="005E340E"/>
    <w:rsid w:val="005F5DEC"/>
    <w:rsid w:val="00602FBF"/>
    <w:rsid w:val="00603164"/>
    <w:rsid w:val="006059F3"/>
    <w:rsid w:val="00611CF4"/>
    <w:rsid w:val="00614A9E"/>
    <w:rsid w:val="006200EA"/>
    <w:rsid w:val="00623413"/>
    <w:rsid w:val="00634581"/>
    <w:rsid w:val="00635F55"/>
    <w:rsid w:val="00641D73"/>
    <w:rsid w:val="00654855"/>
    <w:rsid w:val="00663DFD"/>
    <w:rsid w:val="00663F21"/>
    <w:rsid w:val="0066445E"/>
    <w:rsid w:val="006A26FF"/>
    <w:rsid w:val="006A5ED0"/>
    <w:rsid w:val="006B26A2"/>
    <w:rsid w:val="006B7F24"/>
    <w:rsid w:val="006C4639"/>
    <w:rsid w:val="006C7C29"/>
    <w:rsid w:val="006D0D31"/>
    <w:rsid w:val="006D2C22"/>
    <w:rsid w:val="006D61F1"/>
    <w:rsid w:val="006F074E"/>
    <w:rsid w:val="006F53DE"/>
    <w:rsid w:val="006F62F0"/>
    <w:rsid w:val="0070353A"/>
    <w:rsid w:val="007061D1"/>
    <w:rsid w:val="007110A4"/>
    <w:rsid w:val="007111D8"/>
    <w:rsid w:val="007149F8"/>
    <w:rsid w:val="00720C5F"/>
    <w:rsid w:val="00726F03"/>
    <w:rsid w:val="0073315B"/>
    <w:rsid w:val="00736610"/>
    <w:rsid w:val="00737B5D"/>
    <w:rsid w:val="00742B8E"/>
    <w:rsid w:val="007435AF"/>
    <w:rsid w:val="00746C36"/>
    <w:rsid w:val="00746CA6"/>
    <w:rsid w:val="007515A6"/>
    <w:rsid w:val="00752DDD"/>
    <w:rsid w:val="00753793"/>
    <w:rsid w:val="00771E42"/>
    <w:rsid w:val="00772B60"/>
    <w:rsid w:val="0077519C"/>
    <w:rsid w:val="00776D97"/>
    <w:rsid w:val="00785518"/>
    <w:rsid w:val="00785ED7"/>
    <w:rsid w:val="0078634C"/>
    <w:rsid w:val="00787F2E"/>
    <w:rsid w:val="007951BC"/>
    <w:rsid w:val="007A0E4C"/>
    <w:rsid w:val="007A7915"/>
    <w:rsid w:val="007B07F3"/>
    <w:rsid w:val="007B1EB6"/>
    <w:rsid w:val="007B7AB6"/>
    <w:rsid w:val="007C3992"/>
    <w:rsid w:val="007D025E"/>
    <w:rsid w:val="007D5F24"/>
    <w:rsid w:val="007E1E65"/>
    <w:rsid w:val="007E5957"/>
    <w:rsid w:val="007F05A6"/>
    <w:rsid w:val="007F0E77"/>
    <w:rsid w:val="007F343D"/>
    <w:rsid w:val="007F4502"/>
    <w:rsid w:val="007F7DB0"/>
    <w:rsid w:val="00815414"/>
    <w:rsid w:val="00815C3D"/>
    <w:rsid w:val="008371B9"/>
    <w:rsid w:val="00841127"/>
    <w:rsid w:val="008448B5"/>
    <w:rsid w:val="00850B87"/>
    <w:rsid w:val="00853699"/>
    <w:rsid w:val="0086090D"/>
    <w:rsid w:val="00861781"/>
    <w:rsid w:val="008629D0"/>
    <w:rsid w:val="00873F1F"/>
    <w:rsid w:val="008829E9"/>
    <w:rsid w:val="00894273"/>
    <w:rsid w:val="00897D8B"/>
    <w:rsid w:val="008B299A"/>
    <w:rsid w:val="008B68CA"/>
    <w:rsid w:val="008C62BA"/>
    <w:rsid w:val="008C7068"/>
    <w:rsid w:val="008C70E9"/>
    <w:rsid w:val="008D2A58"/>
    <w:rsid w:val="008E60BA"/>
    <w:rsid w:val="008E7D67"/>
    <w:rsid w:val="00900254"/>
    <w:rsid w:val="00902E94"/>
    <w:rsid w:val="009044EE"/>
    <w:rsid w:val="00905AE5"/>
    <w:rsid w:val="009074AD"/>
    <w:rsid w:val="0091708A"/>
    <w:rsid w:val="00920E42"/>
    <w:rsid w:val="00942E28"/>
    <w:rsid w:val="00943E50"/>
    <w:rsid w:val="0095063E"/>
    <w:rsid w:val="00950E8D"/>
    <w:rsid w:val="00953CF2"/>
    <w:rsid w:val="00962C4B"/>
    <w:rsid w:val="00983E34"/>
    <w:rsid w:val="009929F2"/>
    <w:rsid w:val="009C3E94"/>
    <w:rsid w:val="009C41C7"/>
    <w:rsid w:val="009D296C"/>
    <w:rsid w:val="009D6C75"/>
    <w:rsid w:val="009E0F7B"/>
    <w:rsid w:val="009E185C"/>
    <w:rsid w:val="009E26DA"/>
    <w:rsid w:val="009E37F0"/>
    <w:rsid w:val="009E6F1F"/>
    <w:rsid w:val="009F2B9E"/>
    <w:rsid w:val="009F588D"/>
    <w:rsid w:val="00A01684"/>
    <w:rsid w:val="00A03317"/>
    <w:rsid w:val="00A04743"/>
    <w:rsid w:val="00A048E1"/>
    <w:rsid w:val="00A11A08"/>
    <w:rsid w:val="00A1439B"/>
    <w:rsid w:val="00A25154"/>
    <w:rsid w:val="00A5447B"/>
    <w:rsid w:val="00A5474B"/>
    <w:rsid w:val="00A70BA1"/>
    <w:rsid w:val="00A72503"/>
    <w:rsid w:val="00A832F4"/>
    <w:rsid w:val="00A930EF"/>
    <w:rsid w:val="00A9354D"/>
    <w:rsid w:val="00AB2915"/>
    <w:rsid w:val="00AB6C06"/>
    <w:rsid w:val="00AC10BB"/>
    <w:rsid w:val="00AD239D"/>
    <w:rsid w:val="00AE1D63"/>
    <w:rsid w:val="00AE25C4"/>
    <w:rsid w:val="00AE3B05"/>
    <w:rsid w:val="00AE56F9"/>
    <w:rsid w:val="00AF1478"/>
    <w:rsid w:val="00AF1A50"/>
    <w:rsid w:val="00AF36BA"/>
    <w:rsid w:val="00AF4DF5"/>
    <w:rsid w:val="00B0251F"/>
    <w:rsid w:val="00B10F62"/>
    <w:rsid w:val="00B13BD7"/>
    <w:rsid w:val="00B15FB7"/>
    <w:rsid w:val="00B1603E"/>
    <w:rsid w:val="00B20395"/>
    <w:rsid w:val="00B25259"/>
    <w:rsid w:val="00B26314"/>
    <w:rsid w:val="00B43381"/>
    <w:rsid w:val="00B46C9F"/>
    <w:rsid w:val="00B47935"/>
    <w:rsid w:val="00B52126"/>
    <w:rsid w:val="00B62A62"/>
    <w:rsid w:val="00B63EAB"/>
    <w:rsid w:val="00B668AA"/>
    <w:rsid w:val="00B718C8"/>
    <w:rsid w:val="00B77ACF"/>
    <w:rsid w:val="00B82985"/>
    <w:rsid w:val="00B83744"/>
    <w:rsid w:val="00B8477B"/>
    <w:rsid w:val="00B8722E"/>
    <w:rsid w:val="00BA1781"/>
    <w:rsid w:val="00BA2099"/>
    <w:rsid w:val="00BB533C"/>
    <w:rsid w:val="00BB7213"/>
    <w:rsid w:val="00BD2794"/>
    <w:rsid w:val="00BE003A"/>
    <w:rsid w:val="00BE0345"/>
    <w:rsid w:val="00BE3CF2"/>
    <w:rsid w:val="00BF18E8"/>
    <w:rsid w:val="00BF7694"/>
    <w:rsid w:val="00C14CC2"/>
    <w:rsid w:val="00C16B10"/>
    <w:rsid w:val="00C176B7"/>
    <w:rsid w:val="00C217BD"/>
    <w:rsid w:val="00C35046"/>
    <w:rsid w:val="00C41C71"/>
    <w:rsid w:val="00C42082"/>
    <w:rsid w:val="00C44AF9"/>
    <w:rsid w:val="00C45E04"/>
    <w:rsid w:val="00C67C30"/>
    <w:rsid w:val="00C850C2"/>
    <w:rsid w:val="00C86A66"/>
    <w:rsid w:val="00C93C4F"/>
    <w:rsid w:val="00C967EC"/>
    <w:rsid w:val="00C968B9"/>
    <w:rsid w:val="00CB3F17"/>
    <w:rsid w:val="00CB3F26"/>
    <w:rsid w:val="00CB4541"/>
    <w:rsid w:val="00CB56A5"/>
    <w:rsid w:val="00CB7C91"/>
    <w:rsid w:val="00CC4CB7"/>
    <w:rsid w:val="00CC7C3C"/>
    <w:rsid w:val="00CE1A06"/>
    <w:rsid w:val="00CE5BA0"/>
    <w:rsid w:val="00CE6AA0"/>
    <w:rsid w:val="00CF3245"/>
    <w:rsid w:val="00D04CAA"/>
    <w:rsid w:val="00D13612"/>
    <w:rsid w:val="00D14478"/>
    <w:rsid w:val="00D16061"/>
    <w:rsid w:val="00D1689D"/>
    <w:rsid w:val="00D174BF"/>
    <w:rsid w:val="00D43B9A"/>
    <w:rsid w:val="00D472A6"/>
    <w:rsid w:val="00D50D88"/>
    <w:rsid w:val="00D60EA4"/>
    <w:rsid w:val="00D661D9"/>
    <w:rsid w:val="00D663B5"/>
    <w:rsid w:val="00D70DD6"/>
    <w:rsid w:val="00D800EE"/>
    <w:rsid w:val="00D83FBD"/>
    <w:rsid w:val="00D849BF"/>
    <w:rsid w:val="00D953EE"/>
    <w:rsid w:val="00DB3C64"/>
    <w:rsid w:val="00DB425B"/>
    <w:rsid w:val="00DC15FE"/>
    <w:rsid w:val="00DC2DBC"/>
    <w:rsid w:val="00DC4191"/>
    <w:rsid w:val="00DD5D76"/>
    <w:rsid w:val="00DE1BDC"/>
    <w:rsid w:val="00DE70A8"/>
    <w:rsid w:val="00DE70E7"/>
    <w:rsid w:val="00DF569C"/>
    <w:rsid w:val="00DF70A8"/>
    <w:rsid w:val="00E01C20"/>
    <w:rsid w:val="00E06A55"/>
    <w:rsid w:val="00E07A57"/>
    <w:rsid w:val="00E1027E"/>
    <w:rsid w:val="00E3690D"/>
    <w:rsid w:val="00E4044F"/>
    <w:rsid w:val="00E47BB3"/>
    <w:rsid w:val="00E56427"/>
    <w:rsid w:val="00E61DB2"/>
    <w:rsid w:val="00E62F85"/>
    <w:rsid w:val="00EA080C"/>
    <w:rsid w:val="00EA1D6C"/>
    <w:rsid w:val="00EA7D95"/>
    <w:rsid w:val="00EB23D3"/>
    <w:rsid w:val="00EB512A"/>
    <w:rsid w:val="00EC0611"/>
    <w:rsid w:val="00EC1CE7"/>
    <w:rsid w:val="00EC410F"/>
    <w:rsid w:val="00EC7327"/>
    <w:rsid w:val="00EC7B18"/>
    <w:rsid w:val="00ED3975"/>
    <w:rsid w:val="00ED4B64"/>
    <w:rsid w:val="00EE1797"/>
    <w:rsid w:val="00EE521E"/>
    <w:rsid w:val="00EE61A9"/>
    <w:rsid w:val="00F01D4E"/>
    <w:rsid w:val="00F11A55"/>
    <w:rsid w:val="00F1326B"/>
    <w:rsid w:val="00F23B84"/>
    <w:rsid w:val="00F26267"/>
    <w:rsid w:val="00F31F33"/>
    <w:rsid w:val="00F35454"/>
    <w:rsid w:val="00F46996"/>
    <w:rsid w:val="00F6290F"/>
    <w:rsid w:val="00F62D25"/>
    <w:rsid w:val="00F75BF5"/>
    <w:rsid w:val="00F76417"/>
    <w:rsid w:val="00F915B8"/>
    <w:rsid w:val="00FB3C78"/>
    <w:rsid w:val="00FB45BD"/>
    <w:rsid w:val="00FC3822"/>
    <w:rsid w:val="00FD315B"/>
    <w:rsid w:val="00FD51FE"/>
    <w:rsid w:val="00FD76D3"/>
    <w:rsid w:val="00FE163A"/>
    <w:rsid w:val="00FE685D"/>
    <w:rsid w:val="00FF25A7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ABD"/>
    <w:pPr>
      <w:ind w:left="720"/>
      <w:contextualSpacing/>
    </w:pPr>
  </w:style>
  <w:style w:type="paragraph" w:styleId="ListNumber3">
    <w:name w:val="List Number 3"/>
    <w:basedOn w:val="Normal"/>
    <w:rsid w:val="00096AB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50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4A2"/>
  </w:style>
  <w:style w:type="paragraph" w:styleId="Footer">
    <w:name w:val="footer"/>
    <w:basedOn w:val="Normal"/>
    <w:link w:val="FooterChar"/>
    <w:uiPriority w:val="99"/>
    <w:unhideWhenUsed/>
    <w:rsid w:val="0032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4A2"/>
  </w:style>
  <w:style w:type="paragraph" w:styleId="BalloonText">
    <w:name w:val="Balloon Text"/>
    <w:basedOn w:val="Normal"/>
    <w:link w:val="BalloonTextChar"/>
    <w:uiPriority w:val="99"/>
    <w:semiHidden/>
    <w:unhideWhenUsed/>
    <w:rsid w:val="0032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0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5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18C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3A0F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A0FAA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C7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ABD"/>
    <w:pPr>
      <w:ind w:left="720"/>
      <w:contextualSpacing/>
    </w:pPr>
  </w:style>
  <w:style w:type="paragraph" w:styleId="ListNumber3">
    <w:name w:val="List Number 3"/>
    <w:basedOn w:val="Normal"/>
    <w:rsid w:val="00096AB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50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4A2"/>
  </w:style>
  <w:style w:type="paragraph" w:styleId="Footer">
    <w:name w:val="footer"/>
    <w:basedOn w:val="Normal"/>
    <w:link w:val="FooterChar"/>
    <w:uiPriority w:val="99"/>
    <w:unhideWhenUsed/>
    <w:rsid w:val="00327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4A2"/>
  </w:style>
  <w:style w:type="paragraph" w:styleId="BalloonText">
    <w:name w:val="Balloon Text"/>
    <w:basedOn w:val="Normal"/>
    <w:link w:val="BalloonTextChar"/>
    <w:uiPriority w:val="99"/>
    <w:semiHidden/>
    <w:unhideWhenUsed/>
    <w:rsid w:val="0032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0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5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18C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3A0F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A0FAA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C7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red-fs-01\businessfinance\Institutional%20Research\Completions%20and%20Total%20Debt\Undergraduates%20pursuing%20graduate%20degre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red-fs-01\businessfinance\Institutional%20Research\Completions%20and%20Total%20Debt\Undergraduates%20pursuing%20graduate%20degre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'Data Tables'!$B$62:$B$65</c:f>
              <c:strCache>
                <c:ptCount val="4"/>
                <c:pt idx="0">
                  <c:v>Graduated Less Than MA</c:v>
                </c:pt>
                <c:pt idx="1">
                  <c:v>Graduated At Least MA </c:v>
                </c:pt>
                <c:pt idx="2">
                  <c:v>Enrolled Not Graduated</c:v>
                </c:pt>
                <c:pt idx="3">
                  <c:v>Not Enrolled</c:v>
                </c:pt>
              </c:strCache>
            </c:strRef>
          </c:cat>
          <c:val>
            <c:numRef>
              <c:f>'Data Tables'!$C$62:$C$65</c:f>
              <c:numCache>
                <c:formatCode>General</c:formatCode>
                <c:ptCount val="4"/>
                <c:pt idx="0">
                  <c:v>302</c:v>
                </c:pt>
                <c:pt idx="1">
                  <c:v>778</c:v>
                </c:pt>
                <c:pt idx="2" formatCode="0">
                  <c:v>1336</c:v>
                </c:pt>
                <c:pt idx="3" formatCode="0">
                  <c:v>2417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'Data Tables'!$E$127:$E$138</c:f>
              <c:strCache>
                <c:ptCount val="12"/>
                <c:pt idx="0">
                  <c:v>MA</c:v>
                </c:pt>
                <c:pt idx="1">
                  <c:v>Teaching Cred</c:v>
                </c:pt>
                <c:pt idx="2">
                  <c:v>MS</c:v>
                </c:pt>
                <c:pt idx="3">
                  <c:v>MBA</c:v>
                </c:pt>
                <c:pt idx="4">
                  <c:v>JD</c:v>
                </c:pt>
                <c:pt idx="5">
                  <c:v>MM</c:v>
                </c:pt>
                <c:pt idx="6">
                  <c:v>MFA</c:v>
                </c:pt>
                <c:pt idx="7">
                  <c:v>PhD</c:v>
                </c:pt>
                <c:pt idx="8">
                  <c:v>MPA</c:v>
                </c:pt>
                <c:pt idx="9">
                  <c:v>MD</c:v>
                </c:pt>
                <c:pt idx="10">
                  <c:v>Less than MA</c:v>
                </c:pt>
                <c:pt idx="11">
                  <c:v>Other</c:v>
                </c:pt>
              </c:strCache>
            </c:strRef>
          </c:cat>
          <c:val>
            <c:numRef>
              <c:f>'Data Tables'!$G$127:$G$138</c:f>
              <c:numCache>
                <c:formatCode>0.0%</c:formatCode>
                <c:ptCount val="12"/>
                <c:pt idx="0">
                  <c:v>0.31666666666666665</c:v>
                </c:pt>
                <c:pt idx="1">
                  <c:v>0.24259259259259258</c:v>
                </c:pt>
                <c:pt idx="2">
                  <c:v>0.21111111111111111</c:v>
                </c:pt>
                <c:pt idx="3">
                  <c:v>7.0370370370370375E-2</c:v>
                </c:pt>
                <c:pt idx="4">
                  <c:v>2.8703703703703703E-2</c:v>
                </c:pt>
                <c:pt idx="5">
                  <c:v>2.5000000000000001E-2</c:v>
                </c:pt>
                <c:pt idx="6">
                  <c:v>2.1296296296296296E-2</c:v>
                </c:pt>
                <c:pt idx="7">
                  <c:v>2.0370370370370372E-2</c:v>
                </c:pt>
                <c:pt idx="8">
                  <c:v>1.2037037037037037E-2</c:v>
                </c:pt>
                <c:pt idx="9">
                  <c:v>1.1111111111111112E-2</c:v>
                </c:pt>
                <c:pt idx="10">
                  <c:v>3.7037037037037035E-2</c:v>
                </c:pt>
                <c:pt idx="11">
                  <c:v>3.7037037037037038E-3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axId val="40063360"/>
        <c:axId val="40064896"/>
      </c:barChart>
      <c:catAx>
        <c:axId val="40063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40064896"/>
        <c:crosses val="autoZero"/>
        <c:auto val="1"/>
        <c:lblAlgn val="ctr"/>
        <c:lblOffset val="100"/>
        <c:noMultiLvlLbl val="0"/>
      </c:catAx>
      <c:valAx>
        <c:axId val="400648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of Completed</a:t>
                </a:r>
              </a:p>
            </c:rich>
          </c:tx>
          <c:layout/>
          <c:overlay val="0"/>
        </c:title>
        <c:numFmt formatCode="0.0%" sourceLinked="1"/>
        <c:majorTickMark val="out"/>
        <c:minorTickMark val="none"/>
        <c:tickLblPos val="nextTo"/>
        <c:crossAx val="40063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-0.14464966972065293"/>
                  <c:y val="0.1892641734915740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5511325204060327E-3"/>
                  <c:y val="6.12031157395648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'Data Tables'!$B$152:$B$155</c:f>
              <c:strCache>
                <c:ptCount val="4"/>
                <c:pt idx="0">
                  <c:v>Graduated Less Than MA</c:v>
                </c:pt>
                <c:pt idx="1">
                  <c:v>Graduated At Least MA </c:v>
                </c:pt>
                <c:pt idx="2">
                  <c:v>Enrolled Not Graduated</c:v>
                </c:pt>
                <c:pt idx="3">
                  <c:v>Not Enrolled</c:v>
                </c:pt>
              </c:strCache>
            </c:strRef>
          </c:cat>
          <c:val>
            <c:numRef>
              <c:f>'Data Tables'!$C$152:$C$155</c:f>
              <c:numCache>
                <c:formatCode>General</c:formatCode>
                <c:ptCount val="4"/>
                <c:pt idx="0">
                  <c:v>94</c:v>
                </c:pt>
                <c:pt idx="1">
                  <c:v>417</c:v>
                </c:pt>
                <c:pt idx="2" formatCode="0">
                  <c:v>204</c:v>
                </c:pt>
                <c:pt idx="3" formatCode="0">
                  <c:v>1321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'Data Tables'!$A$197:$A$205</c:f>
              <c:strCache>
                <c:ptCount val="9"/>
                <c:pt idx="0">
                  <c:v>MBA</c:v>
                </c:pt>
                <c:pt idx="1">
                  <c:v>MA</c:v>
                </c:pt>
                <c:pt idx="2">
                  <c:v>MS</c:v>
                </c:pt>
                <c:pt idx="3">
                  <c:v>Cert</c:v>
                </c:pt>
                <c:pt idx="4">
                  <c:v>Teaching Credential</c:v>
                </c:pt>
                <c:pt idx="5">
                  <c:v>MPA</c:v>
                </c:pt>
                <c:pt idx="6">
                  <c:v>JD</c:v>
                </c:pt>
                <c:pt idx="7">
                  <c:v>BS</c:v>
                </c:pt>
                <c:pt idx="8">
                  <c:v>MM</c:v>
                </c:pt>
              </c:strCache>
            </c:strRef>
          </c:cat>
          <c:val>
            <c:numRef>
              <c:f>'Data Tables'!$C$197:$C$205</c:f>
              <c:numCache>
                <c:formatCode>0.0%</c:formatCode>
                <c:ptCount val="9"/>
                <c:pt idx="0">
                  <c:v>0.48407643312101911</c:v>
                </c:pt>
                <c:pt idx="1">
                  <c:v>0.32484076433121017</c:v>
                </c:pt>
                <c:pt idx="2">
                  <c:v>0.10509554140127389</c:v>
                </c:pt>
                <c:pt idx="3">
                  <c:v>2.5477707006369428E-2</c:v>
                </c:pt>
                <c:pt idx="4">
                  <c:v>2.2292993630573247E-2</c:v>
                </c:pt>
                <c:pt idx="5">
                  <c:v>1.9108280254777069E-2</c:v>
                </c:pt>
                <c:pt idx="6">
                  <c:v>9.5541401273885346E-3</c:v>
                </c:pt>
                <c:pt idx="7">
                  <c:v>6.369426751592357E-3</c:v>
                </c:pt>
                <c:pt idx="8">
                  <c:v>3.1847133757961785E-3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axId val="99511680"/>
        <c:axId val="99288192"/>
      </c:barChart>
      <c:catAx>
        <c:axId val="995116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9288192"/>
        <c:crosses val="autoZero"/>
        <c:auto val="1"/>
        <c:lblAlgn val="ctr"/>
        <c:lblOffset val="100"/>
        <c:noMultiLvlLbl val="0"/>
      </c:catAx>
      <c:valAx>
        <c:axId val="99288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of Completed</a:t>
                </a:r>
              </a:p>
            </c:rich>
          </c:tx>
          <c:layout/>
          <c:overlay val="0"/>
        </c:title>
        <c:numFmt formatCode="0.0%" sourceLinked="1"/>
        <c:majorTickMark val="out"/>
        <c:minorTickMark val="none"/>
        <c:tickLblPos val="nextTo"/>
        <c:crossAx val="99511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9BC5-A524-47DA-8CB3-B5962044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cp:lastModifiedBy>Wendy McEwen</cp:lastModifiedBy>
  <cp:revision>2</cp:revision>
  <cp:lastPrinted>2011-05-25T18:11:00Z</cp:lastPrinted>
  <dcterms:created xsi:type="dcterms:W3CDTF">2014-06-05T16:48:00Z</dcterms:created>
  <dcterms:modified xsi:type="dcterms:W3CDTF">2014-06-05T16:48:00Z</dcterms:modified>
</cp:coreProperties>
</file>