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F6D" w:rsidRPr="00467661" w:rsidRDefault="0060014E" w:rsidP="00467661">
      <w:pPr>
        <w:spacing w:after="0"/>
        <w:jc w:val="center"/>
        <w:rPr>
          <w:b/>
          <w:sz w:val="28"/>
        </w:rPr>
      </w:pPr>
      <w:bookmarkStart w:id="0" w:name="_GoBack"/>
      <w:bookmarkEnd w:id="0"/>
      <w:r w:rsidRPr="00467661">
        <w:rPr>
          <w:b/>
          <w:sz w:val="28"/>
        </w:rPr>
        <w:t>Degrees Awarded to International Students</w:t>
      </w:r>
      <w:r w:rsidR="000F1F6D" w:rsidRPr="00467661">
        <w:rPr>
          <w:b/>
          <w:sz w:val="28"/>
        </w:rPr>
        <w:t xml:space="preserve"> in California</w:t>
      </w:r>
    </w:p>
    <w:p w:rsidR="00467661" w:rsidRPr="00467661" w:rsidRDefault="000F1F6D" w:rsidP="00467661">
      <w:pPr>
        <w:spacing w:after="0"/>
        <w:jc w:val="center"/>
        <w:rPr>
          <w:b/>
          <w:sz w:val="28"/>
        </w:rPr>
      </w:pPr>
      <w:r w:rsidRPr="00467661">
        <w:rPr>
          <w:b/>
          <w:sz w:val="28"/>
        </w:rPr>
        <w:t>2011-2012 Academic Year</w:t>
      </w:r>
    </w:p>
    <w:p w:rsidR="00467661" w:rsidRDefault="00467661" w:rsidP="00467661">
      <w:pPr>
        <w:spacing w:after="0"/>
        <w:jc w:val="center"/>
        <w:rPr>
          <w:b/>
        </w:rPr>
      </w:pPr>
    </w:p>
    <w:p w:rsidR="00467661" w:rsidRPr="00CB4814" w:rsidRDefault="00467661" w:rsidP="00467661">
      <w:pPr>
        <w:spacing w:after="0"/>
        <w:jc w:val="center"/>
        <w:rPr>
          <w:b/>
        </w:rPr>
      </w:pPr>
      <w:r w:rsidRPr="00CB4814">
        <w:rPr>
          <w:b/>
        </w:rPr>
        <w:t>Wendy McEwen</w:t>
      </w:r>
    </w:p>
    <w:p w:rsidR="00467661" w:rsidRPr="00CB4814" w:rsidRDefault="00467661" w:rsidP="00467661">
      <w:pPr>
        <w:spacing w:after="0"/>
        <w:jc w:val="center"/>
        <w:rPr>
          <w:b/>
        </w:rPr>
      </w:pPr>
      <w:r w:rsidRPr="00CB4814">
        <w:rPr>
          <w:b/>
        </w:rPr>
        <w:t>Asst. Provost for Institutional Research</w:t>
      </w:r>
    </w:p>
    <w:p w:rsidR="00467661" w:rsidRDefault="00467661" w:rsidP="00467661">
      <w:pPr>
        <w:spacing w:after="0"/>
        <w:jc w:val="center"/>
        <w:rPr>
          <w:b/>
        </w:rPr>
      </w:pPr>
      <w:r w:rsidRPr="00CB4814">
        <w:rPr>
          <w:b/>
        </w:rPr>
        <w:t>University of Redlands</w:t>
      </w:r>
    </w:p>
    <w:p w:rsidR="009263F9" w:rsidRPr="00CB4814" w:rsidRDefault="009263F9" w:rsidP="00467661">
      <w:pPr>
        <w:spacing w:after="0"/>
        <w:jc w:val="center"/>
        <w:rPr>
          <w:b/>
        </w:rPr>
      </w:pPr>
      <w:r>
        <w:rPr>
          <w:b/>
        </w:rPr>
        <w:t>December 17</w:t>
      </w:r>
      <w:r w:rsidRPr="009263F9">
        <w:rPr>
          <w:b/>
          <w:vertAlign w:val="superscript"/>
        </w:rPr>
        <w:t>th</w:t>
      </w:r>
      <w:r>
        <w:rPr>
          <w:b/>
        </w:rPr>
        <w:t>, 2013</w:t>
      </w:r>
    </w:p>
    <w:p w:rsidR="009263F9" w:rsidRDefault="009263F9"/>
    <w:p w:rsidR="00174FDF" w:rsidRDefault="00174FDF">
      <w:r>
        <w:t>The Integrated Post-</w:t>
      </w:r>
      <w:r w:rsidR="0060014E" w:rsidRPr="00794D38">
        <w:t>Secondary Education Data System</w:t>
      </w:r>
      <w:r>
        <w:t xml:space="preserve"> (IPEDS)</w:t>
      </w:r>
      <w:r w:rsidR="0060014E" w:rsidRPr="00794D38">
        <w:t xml:space="preserve"> </w:t>
      </w:r>
      <w:r>
        <w:t>allows us to extract reports for degrees awarded by major</w:t>
      </w:r>
      <w:r w:rsidR="000F1F6D">
        <w:t xml:space="preserve"> / CIP code</w:t>
      </w:r>
      <w:r w:rsidR="0060014E" w:rsidRPr="00794D38">
        <w:t xml:space="preserve">.  </w:t>
      </w:r>
      <w:r>
        <w:t xml:space="preserve">Using data from the </w:t>
      </w:r>
      <w:r w:rsidR="000F1F6D">
        <w:t>2011-2012 academic y</w:t>
      </w:r>
      <w:r w:rsidR="0060014E" w:rsidRPr="00794D38">
        <w:t xml:space="preserve">ear, I analyzed </w:t>
      </w:r>
      <w:r>
        <w:t xml:space="preserve">the number </w:t>
      </w:r>
      <w:r w:rsidR="0060014E" w:rsidRPr="00794D38">
        <w:t>bachelor</w:t>
      </w:r>
      <w:r w:rsidR="00C10FE8">
        <w:t>’</w:t>
      </w:r>
      <w:r w:rsidR="0060014E" w:rsidRPr="00794D38">
        <w:t xml:space="preserve">s degrees </w:t>
      </w:r>
      <w:r>
        <w:t>and master</w:t>
      </w:r>
      <w:r w:rsidR="00C10FE8">
        <w:t>’</w:t>
      </w:r>
      <w:r>
        <w:t xml:space="preserve">s degrees </w:t>
      </w:r>
      <w:r w:rsidR="0060014E" w:rsidRPr="00794D38">
        <w:t xml:space="preserve">awarded to </w:t>
      </w:r>
      <w:r>
        <w:t>students by first declared majors</w:t>
      </w:r>
      <w:r w:rsidR="000F1F6D">
        <w:t xml:space="preserve"> for international students</w:t>
      </w:r>
      <w:r>
        <w:t xml:space="preserve">.  In IPEDS, International Students are identified by the </w:t>
      </w:r>
      <w:r w:rsidR="009263F9">
        <w:t>r</w:t>
      </w:r>
      <w:r>
        <w:t>ace/</w:t>
      </w:r>
      <w:r w:rsidR="009263F9">
        <w:t>e</w:t>
      </w:r>
      <w:r>
        <w:t xml:space="preserve">thnicity category </w:t>
      </w:r>
      <w:r w:rsidR="009263F9">
        <w:t>“</w:t>
      </w:r>
      <w:r>
        <w:t>Nonresident Alien.</w:t>
      </w:r>
      <w:r w:rsidR="009263F9">
        <w:t>”</w:t>
      </w:r>
    </w:p>
    <w:p w:rsidR="0069572C" w:rsidRDefault="00194204">
      <w:r>
        <w:t>For both the bachelors and masters lists, I included all public and private not-for-profit institutions in California who award at least a bachelor’</w:t>
      </w:r>
      <w:r w:rsidR="009263F9">
        <w:t>s degree</w:t>
      </w:r>
      <w:r>
        <w:t xml:space="preserve">.  </w:t>
      </w:r>
      <w:r w:rsidR="0069572C">
        <w:t>In 2011-2012, 6,654 bachelor</w:t>
      </w:r>
      <w:r w:rsidR="00C10FE8">
        <w:t>’</w:t>
      </w:r>
      <w:r w:rsidR="0069572C">
        <w:t>s degrees and 10,005</w:t>
      </w:r>
      <w:r w:rsidR="00174FDF">
        <w:t xml:space="preserve"> master</w:t>
      </w:r>
      <w:r w:rsidR="00C10FE8">
        <w:t>’</w:t>
      </w:r>
      <w:r w:rsidR="00174FDF">
        <w:t>s degrees were awarded to international students</w:t>
      </w:r>
      <w:r w:rsidR="0069572C">
        <w:t xml:space="preserve"> by these 183 schools</w:t>
      </w:r>
      <w:r w:rsidR="00174FDF">
        <w:t xml:space="preserve">.  </w:t>
      </w:r>
    </w:p>
    <w:p w:rsidR="0069572C" w:rsidRDefault="0069572C">
      <w:r>
        <w:t>Graph 1 below has those majors by CIP code where at least 200</w:t>
      </w:r>
      <w:r w:rsidR="00CB7F4A">
        <w:t xml:space="preserve"> bachelor</w:t>
      </w:r>
      <w:r w:rsidR="00C10FE8">
        <w:t>’</w:t>
      </w:r>
      <w:r w:rsidR="00CB7F4A">
        <w:t>s degrees were awarded.  Of all the bachelor</w:t>
      </w:r>
      <w:r w:rsidR="00C10FE8">
        <w:t>’</w:t>
      </w:r>
      <w:r w:rsidR="00CB7F4A">
        <w:t xml:space="preserve">s degrees awarded, 33% were in Business, Management, Marketing, and Related Support Services.  </w:t>
      </w:r>
    </w:p>
    <w:p w:rsidR="0060014E" w:rsidRDefault="00CB7F4A" w:rsidP="0069572C">
      <w:pPr>
        <w:jc w:val="center"/>
      </w:pPr>
      <w:r>
        <w:rPr>
          <w:noProof/>
        </w:rPr>
        <w:drawing>
          <wp:inline distT="0" distB="0" distL="0" distR="0" wp14:anchorId="1C04EAB1" wp14:editId="01AEF0C5">
            <wp:extent cx="6301740" cy="2225040"/>
            <wp:effectExtent l="0" t="0" r="2286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67661" w:rsidRPr="00794D38" w:rsidRDefault="00467661" w:rsidP="00467661">
      <w:r>
        <w:t>Twelve institutions awarded at least 200</w:t>
      </w:r>
      <w:r w:rsidR="009263F9">
        <w:t xml:space="preserve"> bachelor</w:t>
      </w:r>
      <w:r w:rsidR="00C10FE8">
        <w:t>’</w:t>
      </w:r>
      <w:r w:rsidR="009263F9">
        <w:t>s</w:t>
      </w:r>
      <w:r>
        <w:t xml:space="preserve"> degrees to internationa</w:t>
      </w:r>
      <w:r w:rsidR="009263F9">
        <w:t>l students.  Of those</w:t>
      </w:r>
      <w:r w:rsidR="00C10FE8">
        <w:t xml:space="preserve"> schools</w:t>
      </w:r>
      <w:r w:rsidR="009263F9">
        <w:t xml:space="preserve">, only </w:t>
      </w:r>
      <w:r w:rsidR="007E1234">
        <w:t>1</w:t>
      </w:r>
      <w:r w:rsidR="009263F9">
        <w:t xml:space="preserve"> </w:t>
      </w:r>
      <w:r w:rsidR="007E1234">
        <w:t xml:space="preserve">is </w:t>
      </w:r>
      <w:r>
        <w:t xml:space="preserve">private, not-for-profits:  the University of Southern California.  </w:t>
      </w:r>
      <w:r w:rsidR="007E1234">
        <w:t>Fifty-one percent (</w:t>
      </w:r>
      <w:r>
        <w:t>51%</w:t>
      </w:r>
      <w:r w:rsidR="007E1234">
        <w:t>)</w:t>
      </w:r>
      <w:r>
        <w:t xml:space="preserve"> of the bachelor</w:t>
      </w:r>
      <w:r w:rsidR="00C10FE8">
        <w:t>’</w:t>
      </w:r>
      <w:r>
        <w:t xml:space="preserve">s degrees awarded by USC were in Business.  </w:t>
      </w:r>
    </w:p>
    <w:p w:rsidR="00C10FE8" w:rsidRDefault="00C10FE8" w:rsidP="00CB7F4A"/>
    <w:p w:rsidR="00C10FE8" w:rsidRDefault="00C10FE8" w:rsidP="00CB7F4A"/>
    <w:p w:rsidR="00CB7F4A" w:rsidRDefault="00CB7F4A" w:rsidP="00CB7F4A">
      <w:r>
        <w:lastRenderedPageBreak/>
        <w:t>Graph 2 has those majors by CIP code where at least 200 master</w:t>
      </w:r>
      <w:r w:rsidR="00C10FE8">
        <w:t>’</w:t>
      </w:r>
      <w:r>
        <w:t xml:space="preserve">s degrees were awarded.  Of all the masters degrees awarded, 27% were in Engineering and 27% were in Business, Management, Marketing, and Related Support Services.  </w:t>
      </w:r>
    </w:p>
    <w:p w:rsidR="0060014E" w:rsidRDefault="00CB7F4A">
      <w:pPr>
        <w:rPr>
          <w:b/>
        </w:rPr>
      </w:pPr>
      <w:r>
        <w:rPr>
          <w:noProof/>
        </w:rPr>
        <w:drawing>
          <wp:inline distT="0" distB="0" distL="0" distR="0" wp14:anchorId="1D419592" wp14:editId="0A212055">
            <wp:extent cx="6621780" cy="2308860"/>
            <wp:effectExtent l="0" t="0" r="26670" b="152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63F9" w:rsidRDefault="00467661" w:rsidP="00467661">
      <w:r>
        <w:t xml:space="preserve">Fourteen institutions awarded at least 200 </w:t>
      </w:r>
      <w:r w:rsidR="009263F9">
        <w:t xml:space="preserve">masters </w:t>
      </w:r>
      <w:r>
        <w:t xml:space="preserve">degrees to international students.  Of those, </w:t>
      </w:r>
      <w:r w:rsidR="007E1234">
        <w:t>6</w:t>
      </w:r>
      <w:r w:rsidR="009263F9">
        <w:t xml:space="preserve"> are</w:t>
      </w:r>
      <w:r w:rsidR="00663223">
        <w:t xml:space="preserve"> private, not-for-profits.  See this list below:</w:t>
      </w:r>
    </w:p>
    <w:p w:rsidR="009263F9" w:rsidRDefault="009263F9" w:rsidP="009263F9">
      <w:pPr>
        <w:spacing w:after="0"/>
      </w:pPr>
      <w:r w:rsidRPr="00C10FE8">
        <w:rPr>
          <w:b/>
        </w:rPr>
        <w:t>Golden Gate University</w:t>
      </w:r>
      <w:r>
        <w:t xml:space="preserve"> – 94% of degrees </w:t>
      </w:r>
      <w:r w:rsidR="00C10FE8">
        <w:t xml:space="preserve">were </w:t>
      </w:r>
      <w:r>
        <w:t>awarded in Business</w:t>
      </w:r>
    </w:p>
    <w:p w:rsidR="009263F9" w:rsidRDefault="009263F9" w:rsidP="009263F9">
      <w:pPr>
        <w:spacing w:after="0"/>
      </w:pPr>
      <w:r w:rsidRPr="00C10FE8">
        <w:rPr>
          <w:b/>
        </w:rPr>
        <w:t>Northwestern Polytechnic University</w:t>
      </w:r>
      <w:r>
        <w:t xml:space="preserve"> – 51% of degrees </w:t>
      </w:r>
      <w:r w:rsidR="00C10FE8">
        <w:t xml:space="preserve">were </w:t>
      </w:r>
      <w:r>
        <w:t>awarded in Business and 49% were awarded in Engineering</w:t>
      </w:r>
    </w:p>
    <w:p w:rsidR="009263F9" w:rsidRDefault="009263F9" w:rsidP="009263F9">
      <w:pPr>
        <w:spacing w:after="0"/>
      </w:pPr>
      <w:r w:rsidRPr="00C10FE8">
        <w:rPr>
          <w:b/>
        </w:rPr>
        <w:t>Santa Clara University</w:t>
      </w:r>
      <w:r>
        <w:t xml:space="preserve"> – 30% of degrees </w:t>
      </w:r>
      <w:r w:rsidR="00C10FE8">
        <w:t xml:space="preserve">were </w:t>
      </w:r>
      <w:r>
        <w:t>awarded in Business and 40% of degrees were awarded in Engineering</w:t>
      </w:r>
    </w:p>
    <w:p w:rsidR="009263F9" w:rsidRDefault="009263F9" w:rsidP="009263F9">
      <w:pPr>
        <w:spacing w:after="0"/>
      </w:pPr>
      <w:r w:rsidRPr="00C10FE8">
        <w:rPr>
          <w:b/>
        </w:rPr>
        <w:t>Stanford University</w:t>
      </w:r>
      <w:r>
        <w:t xml:space="preserve"> – 23% of degrees </w:t>
      </w:r>
      <w:r w:rsidR="00C10FE8">
        <w:t xml:space="preserve">were </w:t>
      </w:r>
      <w:r>
        <w:t>awarded in Business and 35% of degrees were awarded in Engineering</w:t>
      </w:r>
    </w:p>
    <w:p w:rsidR="009263F9" w:rsidRDefault="009263F9" w:rsidP="009263F9">
      <w:pPr>
        <w:spacing w:after="0"/>
      </w:pPr>
      <w:r w:rsidRPr="00C10FE8">
        <w:rPr>
          <w:b/>
        </w:rPr>
        <w:t>University of La Verne</w:t>
      </w:r>
      <w:r>
        <w:t xml:space="preserve"> – 93% of </w:t>
      </w:r>
      <w:r w:rsidR="00C10FE8">
        <w:t>degrees</w:t>
      </w:r>
      <w:r>
        <w:t xml:space="preserve"> </w:t>
      </w:r>
      <w:r w:rsidR="00C10FE8">
        <w:t xml:space="preserve">were </w:t>
      </w:r>
      <w:r>
        <w:t>awarded in Business</w:t>
      </w:r>
    </w:p>
    <w:p w:rsidR="009263F9" w:rsidRDefault="00C10FE8" w:rsidP="009263F9">
      <w:pPr>
        <w:spacing w:after="0"/>
      </w:pPr>
      <w:r w:rsidRPr="00C10FE8">
        <w:rPr>
          <w:b/>
        </w:rPr>
        <w:t>University</w:t>
      </w:r>
      <w:r w:rsidR="009263F9" w:rsidRPr="00C10FE8">
        <w:rPr>
          <w:b/>
        </w:rPr>
        <w:t xml:space="preserve"> of Southern California</w:t>
      </w:r>
      <w:r w:rsidR="009263F9">
        <w:t xml:space="preserve"> – 10% of degrees </w:t>
      </w:r>
      <w:r>
        <w:t xml:space="preserve">were </w:t>
      </w:r>
      <w:r w:rsidR="009263F9">
        <w:t>awarded in Business and 40% of degrees awarded in Engineering</w:t>
      </w:r>
    </w:p>
    <w:p w:rsidR="0060014E" w:rsidRDefault="0060014E"/>
    <w:p w:rsidR="00663223" w:rsidRDefault="00663223">
      <w:r>
        <w:t>While the preferred majors for bachelor’s and master’s degrees are slightly different, business and business related majors, engineering, and social sciences top both lists.  It is interesting to note the differences in which institutions are attracting international students at these two levels, though.</w:t>
      </w:r>
      <w:r w:rsidR="00CA5A92">
        <w:t xml:space="preserve">  Please see the excel reports for the full lists of institutions and degrees awarded.  </w:t>
      </w:r>
    </w:p>
    <w:sectPr w:rsidR="00663223" w:rsidSect="009263F9">
      <w:footerReference w:type="default" r:id="rId10"/>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675" w:rsidRDefault="004D5675" w:rsidP="009503FC">
      <w:pPr>
        <w:spacing w:after="0" w:line="240" w:lineRule="auto"/>
      </w:pPr>
      <w:r>
        <w:separator/>
      </w:r>
    </w:p>
  </w:endnote>
  <w:endnote w:type="continuationSeparator" w:id="0">
    <w:p w:rsidR="004D5675" w:rsidRDefault="004D5675" w:rsidP="00950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3FC" w:rsidRDefault="009503FC">
    <w:pPr>
      <w:pStyle w:val="Footer"/>
    </w:pPr>
    <w:r>
      <w:t>Institutional Research</w:t>
    </w:r>
    <w:r>
      <w:ptab w:relativeTo="margin" w:alignment="center" w:leader="none"/>
    </w:r>
    <w:r>
      <w:ptab w:relativeTo="margin" w:alignment="right" w:leader="none"/>
    </w:r>
    <w:r>
      <w:t>12/10/2013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675" w:rsidRDefault="004D5675" w:rsidP="009503FC">
      <w:pPr>
        <w:spacing w:after="0" w:line="240" w:lineRule="auto"/>
      </w:pPr>
      <w:r>
        <w:separator/>
      </w:r>
    </w:p>
  </w:footnote>
  <w:footnote w:type="continuationSeparator" w:id="0">
    <w:p w:rsidR="004D5675" w:rsidRDefault="004D5675" w:rsidP="009503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633C0"/>
    <w:multiLevelType w:val="hybridMultilevel"/>
    <w:tmpl w:val="29167F64"/>
    <w:lvl w:ilvl="0" w:tplc="E6945A7E">
      <w:numFmt w:val="bullet"/>
      <w:lvlText w:val="-"/>
      <w:lvlJc w:val="left"/>
      <w:pPr>
        <w:ind w:left="720" w:hanging="360"/>
      </w:pPr>
      <w:rPr>
        <w:rFonts w:ascii="Candara" w:eastAsiaTheme="minorHAnsi" w:hAnsi="Candar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891"/>
    <w:rsid w:val="000F1F6D"/>
    <w:rsid w:val="00174FDF"/>
    <w:rsid w:val="00194204"/>
    <w:rsid w:val="002353A2"/>
    <w:rsid w:val="00434955"/>
    <w:rsid w:val="00467661"/>
    <w:rsid w:val="00471A14"/>
    <w:rsid w:val="004D5675"/>
    <w:rsid w:val="0060014E"/>
    <w:rsid w:val="00663223"/>
    <w:rsid w:val="0069572C"/>
    <w:rsid w:val="006E2488"/>
    <w:rsid w:val="007453AB"/>
    <w:rsid w:val="00794D38"/>
    <w:rsid w:val="007E1234"/>
    <w:rsid w:val="00815D95"/>
    <w:rsid w:val="008B1891"/>
    <w:rsid w:val="009263F9"/>
    <w:rsid w:val="009503FC"/>
    <w:rsid w:val="00A07556"/>
    <w:rsid w:val="00B07C4D"/>
    <w:rsid w:val="00B875A0"/>
    <w:rsid w:val="00C10FE8"/>
    <w:rsid w:val="00CA5A92"/>
    <w:rsid w:val="00CB4814"/>
    <w:rsid w:val="00CB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814"/>
    <w:pPr>
      <w:ind w:left="720"/>
      <w:contextualSpacing/>
    </w:pPr>
  </w:style>
  <w:style w:type="paragraph" w:styleId="Header">
    <w:name w:val="header"/>
    <w:basedOn w:val="Normal"/>
    <w:link w:val="HeaderChar"/>
    <w:uiPriority w:val="99"/>
    <w:unhideWhenUsed/>
    <w:rsid w:val="00950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3FC"/>
  </w:style>
  <w:style w:type="paragraph" w:styleId="Footer">
    <w:name w:val="footer"/>
    <w:basedOn w:val="Normal"/>
    <w:link w:val="FooterChar"/>
    <w:uiPriority w:val="99"/>
    <w:unhideWhenUsed/>
    <w:rsid w:val="00950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3FC"/>
  </w:style>
  <w:style w:type="paragraph" w:styleId="BalloonText">
    <w:name w:val="Balloon Text"/>
    <w:basedOn w:val="Normal"/>
    <w:link w:val="BalloonTextChar"/>
    <w:uiPriority w:val="99"/>
    <w:semiHidden/>
    <w:unhideWhenUsed/>
    <w:rsid w:val="00950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814"/>
    <w:pPr>
      <w:ind w:left="720"/>
      <w:contextualSpacing/>
    </w:pPr>
  </w:style>
  <w:style w:type="paragraph" w:styleId="Header">
    <w:name w:val="header"/>
    <w:basedOn w:val="Normal"/>
    <w:link w:val="HeaderChar"/>
    <w:uiPriority w:val="99"/>
    <w:unhideWhenUsed/>
    <w:rsid w:val="00950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3FC"/>
  </w:style>
  <w:style w:type="paragraph" w:styleId="Footer">
    <w:name w:val="footer"/>
    <w:basedOn w:val="Normal"/>
    <w:link w:val="FooterChar"/>
    <w:uiPriority w:val="99"/>
    <w:unhideWhenUsed/>
    <w:rsid w:val="00950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3FC"/>
  </w:style>
  <w:style w:type="paragraph" w:styleId="BalloonText">
    <w:name w:val="Balloon Text"/>
    <w:basedOn w:val="Normal"/>
    <w:link w:val="BalloonTextChar"/>
    <w:uiPriority w:val="99"/>
    <w:semiHidden/>
    <w:unhideWhenUsed/>
    <w:rsid w:val="00950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91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s-red-fs-01\businessfinance\Institutional%20Research\College%20of%20Arts%20&amp;%20Sciences\International%20Student%20Enrollment%20by%20Major%20IPEDS%202011%202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red-fs-01\businessfinance\Institutional%20Research\College%20of%20Arts%20&amp;%20Sciences\International%20Student%20Enrollment%20by%20Major%20IPEDS%202011%20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en-US" sz="1200"/>
              <a:t>Bachelor's Degrees with at least 200 awarded </a:t>
            </a:r>
          </a:p>
        </c:rich>
      </c:tx>
      <c:layout/>
      <c:overlay val="0"/>
    </c:title>
    <c:autoTitleDeleted val="0"/>
    <c:plotArea>
      <c:layout>
        <c:manualLayout>
          <c:layoutTarget val="inner"/>
          <c:xMode val="edge"/>
          <c:yMode val="edge"/>
          <c:x val="0.10015514727325751"/>
          <c:y val="0.14914158846582534"/>
          <c:w val="0.88161045494313217"/>
          <c:h val="0.57461618667529568"/>
        </c:manualLayout>
      </c:layout>
      <c:barChart>
        <c:barDir val="col"/>
        <c:grouping val="clustered"/>
        <c:varyColors val="0"/>
        <c:ser>
          <c:idx val="0"/>
          <c:order val="0"/>
          <c:tx>
            <c:strRef>
              <c:f>Statistics!$A$4</c:f>
              <c:strCache>
                <c:ptCount val="1"/>
                <c:pt idx="0">
                  <c:v>Bachelors Degrees</c:v>
                </c:pt>
              </c:strCache>
            </c:strRef>
          </c:tx>
          <c:invertIfNegative val="0"/>
          <c:dLbls>
            <c:spPr>
              <a:solidFill>
                <a:schemeClr val="bg1"/>
              </a:solidFill>
            </c:spPr>
            <c:showLegendKey val="0"/>
            <c:showVal val="1"/>
            <c:showCatName val="0"/>
            <c:showSerName val="0"/>
            <c:showPercent val="0"/>
            <c:showBubbleSize val="0"/>
            <c:showLeaderLines val="0"/>
          </c:dLbls>
          <c:cat>
            <c:strRef>
              <c:f>Statistics!$B$5:$I$5</c:f>
              <c:strCache>
                <c:ptCount val="8"/>
                <c:pt idx="0">
                  <c:v>Business,  Mgt &amp;  Marketing    </c:v>
                </c:pt>
                <c:pt idx="1">
                  <c:v>Social Sciences  </c:v>
                </c:pt>
                <c:pt idx="2">
                  <c:v>Engineering  </c:v>
                </c:pt>
                <c:pt idx="3">
                  <c:v>Visual and Performing Arts </c:v>
                </c:pt>
                <c:pt idx="4">
                  <c:v> Bio &amp; Biomed Sciences  </c:v>
                </c:pt>
                <c:pt idx="5">
                  <c:v>Psychology  </c:v>
                </c:pt>
                <c:pt idx="6">
                  <c:v>Comm.  Journalism &amp; Related </c:v>
                </c:pt>
                <c:pt idx="7">
                  <c:v> Mathematics and Statistics  </c:v>
                </c:pt>
              </c:strCache>
            </c:strRef>
          </c:cat>
          <c:val>
            <c:numRef>
              <c:f>Statistics!$B$6:$I$6</c:f>
              <c:numCache>
                <c:formatCode>General</c:formatCode>
                <c:ptCount val="8"/>
                <c:pt idx="0">
                  <c:v>2175</c:v>
                </c:pt>
                <c:pt idx="1">
                  <c:v>958</c:v>
                </c:pt>
                <c:pt idx="2">
                  <c:v>587</c:v>
                </c:pt>
                <c:pt idx="3">
                  <c:v>506</c:v>
                </c:pt>
                <c:pt idx="4">
                  <c:v>362</c:v>
                </c:pt>
                <c:pt idx="5">
                  <c:v>281</c:v>
                </c:pt>
                <c:pt idx="6">
                  <c:v>240</c:v>
                </c:pt>
                <c:pt idx="7">
                  <c:v>216</c:v>
                </c:pt>
              </c:numCache>
            </c:numRef>
          </c:val>
        </c:ser>
        <c:dLbls>
          <c:showLegendKey val="0"/>
          <c:showVal val="0"/>
          <c:showCatName val="0"/>
          <c:showSerName val="0"/>
          <c:showPercent val="0"/>
          <c:showBubbleSize val="0"/>
        </c:dLbls>
        <c:gapWidth val="150"/>
        <c:axId val="49343104"/>
        <c:axId val="38490496"/>
      </c:barChart>
      <c:catAx>
        <c:axId val="49343104"/>
        <c:scaling>
          <c:orientation val="minMax"/>
        </c:scaling>
        <c:delete val="0"/>
        <c:axPos val="b"/>
        <c:majorTickMark val="out"/>
        <c:minorTickMark val="none"/>
        <c:tickLblPos val="nextTo"/>
        <c:txPr>
          <a:bodyPr/>
          <a:lstStyle/>
          <a:p>
            <a:pPr>
              <a:defRPr sz="700"/>
            </a:pPr>
            <a:endParaRPr lang="en-US"/>
          </a:p>
        </c:txPr>
        <c:crossAx val="38490496"/>
        <c:crosses val="autoZero"/>
        <c:auto val="1"/>
        <c:lblAlgn val="ctr"/>
        <c:lblOffset val="100"/>
        <c:noMultiLvlLbl val="0"/>
      </c:catAx>
      <c:valAx>
        <c:axId val="38490496"/>
        <c:scaling>
          <c:orientation val="minMax"/>
        </c:scaling>
        <c:delete val="0"/>
        <c:axPos val="l"/>
        <c:majorGridlines/>
        <c:numFmt formatCode="General" sourceLinked="1"/>
        <c:majorTickMark val="out"/>
        <c:minorTickMark val="none"/>
        <c:tickLblPos val="nextTo"/>
        <c:crossAx val="493431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en-US" sz="1200"/>
              <a:t>Masters Degrees </a:t>
            </a:r>
          </a:p>
        </c:rich>
      </c:tx>
      <c:overlay val="0"/>
    </c:title>
    <c:autoTitleDeleted val="0"/>
    <c:plotArea>
      <c:layout>
        <c:manualLayout>
          <c:layoutTarget val="inner"/>
          <c:xMode val="edge"/>
          <c:yMode val="edge"/>
          <c:x val="0.10015514727325751"/>
          <c:y val="0.14914158846582534"/>
          <c:w val="0.88161045494313217"/>
          <c:h val="0.57852446661989032"/>
        </c:manualLayout>
      </c:layout>
      <c:barChart>
        <c:barDir val="col"/>
        <c:grouping val="clustered"/>
        <c:varyColors val="0"/>
        <c:ser>
          <c:idx val="0"/>
          <c:order val="0"/>
          <c:tx>
            <c:strRef>
              <c:f>Statistics!$A$22</c:f>
              <c:strCache>
                <c:ptCount val="1"/>
                <c:pt idx="0">
                  <c:v>Masters Degrees</c:v>
                </c:pt>
              </c:strCache>
            </c:strRef>
          </c:tx>
          <c:invertIfNegative val="0"/>
          <c:dLbls>
            <c:spPr>
              <a:solidFill>
                <a:schemeClr val="bg1"/>
              </a:solidFill>
            </c:spPr>
            <c:showLegendKey val="0"/>
            <c:showVal val="1"/>
            <c:showCatName val="0"/>
            <c:showSerName val="0"/>
            <c:showPercent val="0"/>
            <c:showBubbleSize val="0"/>
            <c:showLeaderLines val="0"/>
          </c:dLbls>
          <c:cat>
            <c:strRef>
              <c:f>Statistics!$B$23:$K$23</c:f>
              <c:strCache>
                <c:ptCount val="10"/>
                <c:pt idx="0">
                  <c:v>Engineering  </c:v>
                </c:pt>
                <c:pt idx="1">
                  <c:v>Business,  Mgt &amp;  Marketing    </c:v>
                </c:pt>
                <c:pt idx="2">
                  <c:v>Computer &amp; Information Sciences </c:v>
                </c:pt>
                <c:pt idx="3">
                  <c:v>Legal Professions and Studies  </c:v>
                </c:pt>
                <c:pt idx="4">
                  <c:v>Social Sciences  </c:v>
                </c:pt>
                <c:pt idx="5">
                  <c:v> Health Professions </c:v>
                </c:pt>
                <c:pt idx="6">
                  <c:v>Visual &amp; Performing Arts </c:v>
                </c:pt>
                <c:pt idx="7">
                  <c:v> Mathematics &amp; Statistics  </c:v>
                </c:pt>
                <c:pt idx="8">
                  <c:v>Education </c:v>
                </c:pt>
                <c:pt idx="9">
                  <c:v>Engineering Technologies </c:v>
                </c:pt>
              </c:strCache>
            </c:strRef>
          </c:cat>
          <c:val>
            <c:numRef>
              <c:f>Statistics!$B$24:$K$24</c:f>
              <c:numCache>
                <c:formatCode>General</c:formatCode>
                <c:ptCount val="10"/>
                <c:pt idx="0">
                  <c:v>2693</c:v>
                </c:pt>
                <c:pt idx="1">
                  <c:v>2686</c:v>
                </c:pt>
                <c:pt idx="2">
                  <c:v>1196</c:v>
                </c:pt>
                <c:pt idx="3">
                  <c:v>455</c:v>
                </c:pt>
                <c:pt idx="4">
                  <c:v>341</c:v>
                </c:pt>
                <c:pt idx="5">
                  <c:v>331</c:v>
                </c:pt>
                <c:pt idx="6">
                  <c:v>284</c:v>
                </c:pt>
                <c:pt idx="7">
                  <c:v>244</c:v>
                </c:pt>
                <c:pt idx="8">
                  <c:v>234</c:v>
                </c:pt>
                <c:pt idx="9">
                  <c:v>209</c:v>
                </c:pt>
              </c:numCache>
            </c:numRef>
          </c:val>
        </c:ser>
        <c:dLbls>
          <c:showLegendKey val="0"/>
          <c:showVal val="0"/>
          <c:showCatName val="0"/>
          <c:showSerName val="0"/>
          <c:showPercent val="0"/>
          <c:showBubbleSize val="0"/>
        </c:dLbls>
        <c:gapWidth val="150"/>
        <c:axId val="38515072"/>
        <c:axId val="38516608"/>
      </c:barChart>
      <c:catAx>
        <c:axId val="38515072"/>
        <c:scaling>
          <c:orientation val="minMax"/>
        </c:scaling>
        <c:delete val="0"/>
        <c:axPos val="b"/>
        <c:majorTickMark val="out"/>
        <c:minorTickMark val="none"/>
        <c:tickLblPos val="nextTo"/>
        <c:txPr>
          <a:bodyPr/>
          <a:lstStyle/>
          <a:p>
            <a:pPr>
              <a:defRPr sz="600"/>
            </a:pPr>
            <a:endParaRPr lang="en-US"/>
          </a:p>
        </c:txPr>
        <c:crossAx val="38516608"/>
        <c:crosses val="autoZero"/>
        <c:auto val="1"/>
        <c:lblAlgn val="ctr"/>
        <c:lblOffset val="100"/>
        <c:noMultiLvlLbl val="0"/>
      </c:catAx>
      <c:valAx>
        <c:axId val="38516608"/>
        <c:scaling>
          <c:orientation val="minMax"/>
        </c:scaling>
        <c:delete val="0"/>
        <c:axPos val="l"/>
        <c:majorGridlines/>
        <c:numFmt formatCode="General" sourceLinked="1"/>
        <c:majorTickMark val="out"/>
        <c:minorTickMark val="none"/>
        <c:tickLblPos val="nextTo"/>
        <c:crossAx val="3851507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McEwen</dc:creator>
  <cp:lastModifiedBy>Wendy McEwen</cp:lastModifiedBy>
  <cp:revision>2</cp:revision>
  <cp:lastPrinted>2013-12-11T19:46:00Z</cp:lastPrinted>
  <dcterms:created xsi:type="dcterms:W3CDTF">2014-06-05T16:58:00Z</dcterms:created>
  <dcterms:modified xsi:type="dcterms:W3CDTF">2014-06-05T16:58:00Z</dcterms:modified>
</cp:coreProperties>
</file>