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72" w:rsidRDefault="00CC4272" w:rsidP="009D788C">
      <w:pPr>
        <w:spacing w:before="120" w:after="120" w:line="240" w:lineRule="auto"/>
        <w:jc w:val="center"/>
        <w:rPr>
          <w:rFonts w:ascii="Arial" w:hAnsi="Arial" w:cs="Arial"/>
          <w:b/>
          <w:sz w:val="28"/>
        </w:rPr>
      </w:pPr>
      <w:bookmarkStart w:id="0" w:name="_GoBack"/>
      <w:bookmarkEnd w:id="0"/>
    </w:p>
    <w:p w:rsidR="00665575" w:rsidRPr="009E6269" w:rsidRDefault="005D524D" w:rsidP="009D788C">
      <w:pPr>
        <w:spacing w:before="120" w:after="120" w:line="240" w:lineRule="auto"/>
        <w:jc w:val="center"/>
        <w:rPr>
          <w:rFonts w:ascii="Arial" w:hAnsi="Arial" w:cs="Arial"/>
          <w:b/>
          <w:sz w:val="28"/>
        </w:rPr>
      </w:pPr>
      <w:r>
        <w:rPr>
          <w:rFonts w:ascii="Arial" w:hAnsi="Arial" w:cs="Arial"/>
          <w:b/>
          <w:sz w:val="28"/>
        </w:rPr>
        <w:t xml:space="preserve">School of </w:t>
      </w:r>
      <w:r w:rsidR="00D3526C">
        <w:rPr>
          <w:rFonts w:ascii="Arial" w:hAnsi="Arial" w:cs="Arial"/>
          <w:b/>
          <w:sz w:val="28"/>
        </w:rPr>
        <w:t>Education</w:t>
      </w:r>
      <w:r w:rsidR="008D6383">
        <w:rPr>
          <w:rFonts w:ascii="Arial" w:hAnsi="Arial" w:cs="Arial"/>
          <w:b/>
          <w:sz w:val="28"/>
        </w:rPr>
        <w:t xml:space="preserve"> </w:t>
      </w:r>
      <w:r>
        <w:rPr>
          <w:rFonts w:ascii="Arial" w:hAnsi="Arial" w:cs="Arial"/>
          <w:b/>
          <w:sz w:val="28"/>
        </w:rPr>
        <w:t>Retention and Graduation rates</w:t>
      </w:r>
    </w:p>
    <w:p w:rsidR="009D788C" w:rsidRPr="00556450" w:rsidRDefault="009D788C" w:rsidP="009D788C">
      <w:pPr>
        <w:spacing w:before="120" w:after="0" w:line="240" w:lineRule="auto"/>
        <w:jc w:val="center"/>
        <w:rPr>
          <w:rFonts w:ascii="Arial" w:hAnsi="Arial" w:cs="Arial"/>
          <w:sz w:val="20"/>
        </w:rPr>
      </w:pPr>
      <w:r w:rsidRPr="00556450">
        <w:rPr>
          <w:rFonts w:ascii="Arial" w:hAnsi="Arial" w:cs="Arial"/>
          <w:sz w:val="20"/>
        </w:rPr>
        <w:t>Wendy McEwen</w:t>
      </w:r>
      <w:r w:rsidR="0035798C" w:rsidRPr="00556450">
        <w:rPr>
          <w:rFonts w:ascii="Arial" w:hAnsi="Arial" w:cs="Arial"/>
          <w:sz w:val="20"/>
        </w:rPr>
        <w:t xml:space="preserve">, </w:t>
      </w:r>
      <w:r w:rsidR="00A205C2">
        <w:rPr>
          <w:rFonts w:ascii="Arial" w:hAnsi="Arial" w:cs="Arial"/>
          <w:sz w:val="20"/>
        </w:rPr>
        <w:t>Assistant Provost for Institutional Research</w:t>
      </w:r>
    </w:p>
    <w:p w:rsidR="009D788C" w:rsidRPr="00556450" w:rsidRDefault="00A205C2" w:rsidP="009D788C">
      <w:pPr>
        <w:spacing w:before="120" w:after="0" w:line="240" w:lineRule="auto"/>
        <w:jc w:val="center"/>
        <w:rPr>
          <w:rFonts w:ascii="Arial" w:hAnsi="Arial" w:cs="Arial"/>
          <w:sz w:val="20"/>
        </w:rPr>
      </w:pPr>
      <w:r>
        <w:rPr>
          <w:rFonts w:ascii="Arial" w:hAnsi="Arial" w:cs="Arial"/>
          <w:sz w:val="20"/>
        </w:rPr>
        <w:t xml:space="preserve">January </w:t>
      </w:r>
      <w:r w:rsidR="0024789D">
        <w:rPr>
          <w:rFonts w:ascii="Arial" w:hAnsi="Arial" w:cs="Arial"/>
          <w:sz w:val="20"/>
        </w:rPr>
        <w:t>2</w:t>
      </w:r>
      <w:r w:rsidR="005E73C6">
        <w:rPr>
          <w:rFonts w:ascii="Arial" w:hAnsi="Arial" w:cs="Arial"/>
          <w:sz w:val="20"/>
        </w:rPr>
        <w:t>4</w:t>
      </w:r>
      <w:r w:rsidR="005E73C6" w:rsidRPr="005E73C6">
        <w:rPr>
          <w:rFonts w:ascii="Arial" w:hAnsi="Arial" w:cs="Arial"/>
          <w:sz w:val="20"/>
          <w:vertAlign w:val="superscript"/>
        </w:rPr>
        <w:t>th</w:t>
      </w:r>
      <w:r>
        <w:rPr>
          <w:rFonts w:ascii="Arial" w:hAnsi="Arial" w:cs="Arial"/>
          <w:sz w:val="20"/>
        </w:rPr>
        <w:t>, 2014</w:t>
      </w:r>
    </w:p>
    <w:p w:rsidR="005D524D" w:rsidRPr="00556450" w:rsidRDefault="005D524D" w:rsidP="009D788C">
      <w:pPr>
        <w:spacing w:before="120" w:after="0" w:line="240" w:lineRule="auto"/>
        <w:jc w:val="center"/>
        <w:rPr>
          <w:rFonts w:ascii="Arial" w:hAnsi="Arial" w:cs="Arial"/>
          <w:sz w:val="20"/>
        </w:rPr>
      </w:pPr>
    </w:p>
    <w:p w:rsidR="00556450" w:rsidRDefault="00AF3A41" w:rsidP="005D524D">
      <w:pPr>
        <w:spacing w:before="120" w:after="0" w:line="240" w:lineRule="auto"/>
        <w:rPr>
          <w:rFonts w:ascii="Arial" w:hAnsi="Arial" w:cs="Arial"/>
          <w:sz w:val="20"/>
        </w:rPr>
      </w:pPr>
      <w:r>
        <w:rPr>
          <w:rFonts w:ascii="Arial" w:hAnsi="Arial" w:cs="Arial"/>
          <w:sz w:val="20"/>
        </w:rPr>
        <w:t>The School of Education</w:t>
      </w:r>
      <w:r w:rsidR="008D6383">
        <w:rPr>
          <w:rFonts w:ascii="Arial" w:hAnsi="Arial" w:cs="Arial"/>
          <w:sz w:val="20"/>
        </w:rPr>
        <w:t xml:space="preserve"> Retention and Graduation Rate Working Group includes </w:t>
      </w:r>
      <w:r>
        <w:rPr>
          <w:rFonts w:ascii="Arial" w:hAnsi="Arial" w:cs="Arial"/>
          <w:sz w:val="20"/>
        </w:rPr>
        <w:t>Joe Castino, P</w:t>
      </w:r>
      <w:r w:rsidR="009558D1">
        <w:rPr>
          <w:rFonts w:ascii="Arial" w:hAnsi="Arial" w:cs="Arial"/>
          <w:sz w:val="20"/>
        </w:rPr>
        <w:t>auline Reynolds, Alaine Murphy</w:t>
      </w:r>
      <w:r>
        <w:rPr>
          <w:rFonts w:ascii="Arial" w:hAnsi="Arial" w:cs="Arial"/>
          <w:sz w:val="20"/>
        </w:rPr>
        <w:t>,</w:t>
      </w:r>
      <w:r w:rsidR="008D6383">
        <w:rPr>
          <w:rFonts w:ascii="Arial" w:hAnsi="Arial" w:cs="Arial"/>
          <w:sz w:val="20"/>
        </w:rPr>
        <w:t xml:space="preserve"> Nancy Svenson, </w:t>
      </w:r>
      <w:r w:rsidR="00614724">
        <w:rPr>
          <w:rFonts w:ascii="Arial" w:hAnsi="Arial" w:cs="Arial"/>
          <w:sz w:val="20"/>
        </w:rPr>
        <w:t xml:space="preserve">Amanda Wirtz, Kristin Grammar, </w:t>
      </w:r>
      <w:r w:rsidR="008D6383">
        <w:rPr>
          <w:rFonts w:ascii="Arial" w:hAnsi="Arial" w:cs="Arial"/>
          <w:sz w:val="20"/>
        </w:rPr>
        <w:t xml:space="preserve">Maria Johnson, </w:t>
      </w:r>
      <w:r>
        <w:rPr>
          <w:rFonts w:ascii="Arial" w:hAnsi="Arial" w:cs="Arial"/>
          <w:sz w:val="20"/>
        </w:rPr>
        <w:t xml:space="preserve">Alisha Aguilar, </w:t>
      </w:r>
      <w:r w:rsidR="00614724">
        <w:rPr>
          <w:rFonts w:ascii="Arial" w:hAnsi="Arial" w:cs="Arial"/>
          <w:sz w:val="20"/>
        </w:rPr>
        <w:t xml:space="preserve">Stacey Neeley, </w:t>
      </w:r>
      <w:r>
        <w:rPr>
          <w:rFonts w:ascii="Arial" w:hAnsi="Arial" w:cs="Arial"/>
          <w:sz w:val="20"/>
        </w:rPr>
        <w:t xml:space="preserve">and </w:t>
      </w:r>
      <w:r w:rsidR="008D6383">
        <w:rPr>
          <w:rFonts w:ascii="Arial" w:hAnsi="Arial" w:cs="Arial"/>
          <w:sz w:val="20"/>
        </w:rPr>
        <w:t xml:space="preserve">me.  We meet regularly with the goal of understanding and improving our student success rates.  This paper provides a brief update of the current rates for </w:t>
      </w:r>
      <w:r>
        <w:rPr>
          <w:rFonts w:ascii="Arial" w:hAnsi="Arial" w:cs="Arial"/>
          <w:sz w:val="20"/>
        </w:rPr>
        <w:t xml:space="preserve">School of Education </w:t>
      </w:r>
      <w:r w:rsidR="008D6383">
        <w:rPr>
          <w:rFonts w:ascii="Arial" w:hAnsi="Arial" w:cs="Arial"/>
          <w:sz w:val="20"/>
        </w:rPr>
        <w:t>students</w:t>
      </w:r>
      <w:r w:rsidR="00CE0215">
        <w:rPr>
          <w:rFonts w:ascii="Arial" w:hAnsi="Arial" w:cs="Arial"/>
          <w:sz w:val="20"/>
        </w:rPr>
        <w:t>.  The retention rates are current as of our Fall census and the graduation rates are current as of June 30</w:t>
      </w:r>
      <w:r w:rsidR="00CE0215" w:rsidRPr="00CE0215">
        <w:rPr>
          <w:rFonts w:ascii="Arial" w:hAnsi="Arial" w:cs="Arial"/>
          <w:sz w:val="20"/>
          <w:vertAlign w:val="superscript"/>
        </w:rPr>
        <w:t>th</w:t>
      </w:r>
      <w:r w:rsidR="00CE0215">
        <w:rPr>
          <w:rFonts w:ascii="Arial" w:hAnsi="Arial" w:cs="Arial"/>
          <w:sz w:val="20"/>
        </w:rPr>
        <w:t>, 2013</w:t>
      </w:r>
      <w:r w:rsidR="008D6383">
        <w:rPr>
          <w:rFonts w:ascii="Arial" w:hAnsi="Arial" w:cs="Arial"/>
          <w:sz w:val="20"/>
        </w:rPr>
        <w:t xml:space="preserve">.    </w:t>
      </w:r>
    </w:p>
    <w:p w:rsidR="00AF3A41" w:rsidRDefault="00AF3A41" w:rsidP="005D524D">
      <w:pPr>
        <w:spacing w:before="120" w:after="0" w:line="240" w:lineRule="auto"/>
        <w:rPr>
          <w:rFonts w:ascii="Arial" w:hAnsi="Arial" w:cs="Arial"/>
          <w:sz w:val="20"/>
        </w:rPr>
      </w:pPr>
    </w:p>
    <w:p w:rsidR="00AF3A41" w:rsidRPr="003F6A31" w:rsidRDefault="00AF3A41" w:rsidP="005D524D">
      <w:pPr>
        <w:spacing w:before="120" w:after="0" w:line="240" w:lineRule="auto"/>
        <w:rPr>
          <w:rFonts w:ascii="Arial" w:hAnsi="Arial" w:cs="Arial"/>
          <w:b/>
          <w:sz w:val="20"/>
        </w:rPr>
      </w:pPr>
      <w:r w:rsidRPr="003F6A31">
        <w:rPr>
          <w:rFonts w:ascii="Arial" w:hAnsi="Arial" w:cs="Arial"/>
          <w:b/>
          <w:sz w:val="20"/>
        </w:rPr>
        <w:t>Teacher Credential</w:t>
      </w:r>
    </w:p>
    <w:p w:rsidR="003A3754" w:rsidRDefault="003A3754" w:rsidP="005D524D">
      <w:pPr>
        <w:spacing w:before="120" w:after="0" w:line="240" w:lineRule="auto"/>
        <w:rPr>
          <w:rFonts w:ascii="Arial" w:hAnsi="Arial" w:cs="Arial"/>
          <w:sz w:val="20"/>
        </w:rPr>
      </w:pPr>
      <w:r>
        <w:rPr>
          <w:rFonts w:ascii="Arial" w:hAnsi="Arial" w:cs="Arial"/>
          <w:sz w:val="20"/>
        </w:rPr>
        <w:t xml:space="preserve">Unlike our other programs, Institutional Research tracks preliminary teaching credential retention by </w:t>
      </w:r>
      <w:r w:rsidR="003F6A31">
        <w:rPr>
          <w:rFonts w:ascii="Arial" w:hAnsi="Arial" w:cs="Arial"/>
          <w:sz w:val="20"/>
        </w:rPr>
        <w:t>1</w:t>
      </w:r>
      <w:r w:rsidR="003F6A31" w:rsidRPr="003F6A31">
        <w:rPr>
          <w:rFonts w:ascii="Arial" w:hAnsi="Arial" w:cs="Arial"/>
          <w:sz w:val="20"/>
          <w:vertAlign w:val="superscript"/>
        </w:rPr>
        <w:t>st</w:t>
      </w:r>
      <w:r w:rsidR="003F6A31">
        <w:rPr>
          <w:rFonts w:ascii="Arial" w:hAnsi="Arial" w:cs="Arial"/>
          <w:sz w:val="20"/>
        </w:rPr>
        <w:t xml:space="preserve"> to 2</w:t>
      </w:r>
      <w:r w:rsidR="003F6A31" w:rsidRPr="003F6A31">
        <w:rPr>
          <w:rFonts w:ascii="Arial" w:hAnsi="Arial" w:cs="Arial"/>
          <w:sz w:val="20"/>
          <w:vertAlign w:val="superscript"/>
        </w:rPr>
        <w:t>nd</w:t>
      </w:r>
      <w:r>
        <w:rPr>
          <w:rFonts w:ascii="Arial" w:hAnsi="Arial" w:cs="Arial"/>
          <w:sz w:val="20"/>
        </w:rPr>
        <w:t xml:space="preserve"> semester, versus 1</w:t>
      </w:r>
      <w:r w:rsidRPr="003A3754">
        <w:rPr>
          <w:rFonts w:ascii="Arial" w:hAnsi="Arial" w:cs="Arial"/>
          <w:sz w:val="20"/>
          <w:vertAlign w:val="superscript"/>
        </w:rPr>
        <w:t>st</w:t>
      </w:r>
      <w:r>
        <w:rPr>
          <w:rFonts w:ascii="Arial" w:hAnsi="Arial" w:cs="Arial"/>
          <w:sz w:val="20"/>
        </w:rPr>
        <w:t xml:space="preserve"> to 3</w:t>
      </w:r>
      <w:r w:rsidRPr="003A3754">
        <w:rPr>
          <w:rFonts w:ascii="Arial" w:hAnsi="Arial" w:cs="Arial"/>
          <w:sz w:val="20"/>
          <w:vertAlign w:val="superscript"/>
        </w:rPr>
        <w:t>rd</w:t>
      </w:r>
      <w:r>
        <w:rPr>
          <w:rFonts w:ascii="Arial" w:hAnsi="Arial" w:cs="Arial"/>
          <w:sz w:val="20"/>
        </w:rPr>
        <w:t xml:space="preserve"> semester.  This is because the program is only a 10 month program.  See graphs 1 and 2 for the retention and graduation rates for our teaching credential students.  </w:t>
      </w:r>
    </w:p>
    <w:p w:rsidR="003A3754" w:rsidRDefault="003A3754" w:rsidP="005D524D">
      <w:pPr>
        <w:spacing w:before="120" w:after="0" w:line="240" w:lineRule="auto"/>
        <w:rPr>
          <w:rFonts w:ascii="Arial" w:hAnsi="Arial" w:cs="Arial"/>
          <w:sz w:val="20"/>
        </w:rPr>
      </w:pPr>
    </w:p>
    <w:p w:rsidR="00AF3A41" w:rsidRDefault="003A3754" w:rsidP="005D524D">
      <w:pPr>
        <w:spacing w:before="120" w:after="0" w:line="240" w:lineRule="auto"/>
        <w:rPr>
          <w:rFonts w:ascii="Arial" w:hAnsi="Arial" w:cs="Arial"/>
          <w:b/>
          <w:sz w:val="20"/>
        </w:rPr>
      </w:pPr>
      <w:r w:rsidRPr="003A3754">
        <w:rPr>
          <w:rFonts w:ascii="Arial" w:hAnsi="Arial" w:cs="Arial"/>
          <w:b/>
          <w:sz w:val="20"/>
        </w:rPr>
        <w:t xml:space="preserve">Graph 1:  Retention and Graduation Rates for Preliminary Teaching Credential Multiple </w:t>
      </w:r>
      <w:r w:rsidR="00CE0215" w:rsidRPr="003A3754">
        <w:rPr>
          <w:rFonts w:ascii="Arial" w:hAnsi="Arial" w:cs="Arial"/>
          <w:b/>
          <w:sz w:val="20"/>
        </w:rPr>
        <w:t>Subjects</w:t>
      </w:r>
    </w:p>
    <w:p w:rsidR="003A3754" w:rsidRDefault="003A3754" w:rsidP="005D524D">
      <w:pPr>
        <w:spacing w:before="120" w:after="0" w:line="240" w:lineRule="auto"/>
        <w:rPr>
          <w:rFonts w:ascii="Arial" w:hAnsi="Arial" w:cs="Arial"/>
          <w:b/>
          <w:sz w:val="20"/>
        </w:rPr>
      </w:pPr>
      <w:r>
        <w:rPr>
          <w:noProof/>
        </w:rPr>
        <w:drawing>
          <wp:inline distT="0" distB="0" distL="0" distR="0" wp14:anchorId="6878F8F3" wp14:editId="03F38209">
            <wp:extent cx="6841067" cy="2404534"/>
            <wp:effectExtent l="0" t="0" r="17145" b="1524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A3754" w:rsidRDefault="003A3754" w:rsidP="003A3754">
      <w:pPr>
        <w:spacing w:before="120" w:after="0" w:line="240" w:lineRule="auto"/>
        <w:rPr>
          <w:rFonts w:ascii="Arial" w:hAnsi="Arial" w:cs="Arial"/>
          <w:b/>
          <w:sz w:val="20"/>
        </w:rPr>
      </w:pPr>
    </w:p>
    <w:p w:rsidR="003A3754" w:rsidRPr="003A3754" w:rsidRDefault="003A3754" w:rsidP="003A3754">
      <w:pPr>
        <w:spacing w:before="120" w:after="0" w:line="240" w:lineRule="auto"/>
        <w:rPr>
          <w:rFonts w:ascii="Arial" w:hAnsi="Arial" w:cs="Arial"/>
          <w:b/>
          <w:sz w:val="20"/>
        </w:rPr>
      </w:pPr>
      <w:r>
        <w:rPr>
          <w:rFonts w:ascii="Arial" w:hAnsi="Arial" w:cs="Arial"/>
          <w:b/>
          <w:sz w:val="20"/>
        </w:rPr>
        <w:t>Graph 2</w:t>
      </w:r>
      <w:r w:rsidRPr="003A3754">
        <w:rPr>
          <w:rFonts w:ascii="Arial" w:hAnsi="Arial" w:cs="Arial"/>
          <w:b/>
          <w:sz w:val="20"/>
        </w:rPr>
        <w:t xml:space="preserve">:  Retention and Graduation Rates for Preliminary Teaching Credential </w:t>
      </w:r>
      <w:r>
        <w:rPr>
          <w:rFonts w:ascii="Arial" w:hAnsi="Arial" w:cs="Arial"/>
          <w:b/>
          <w:sz w:val="20"/>
        </w:rPr>
        <w:t>Single</w:t>
      </w:r>
      <w:r w:rsidRPr="003A3754">
        <w:rPr>
          <w:rFonts w:ascii="Arial" w:hAnsi="Arial" w:cs="Arial"/>
          <w:b/>
          <w:sz w:val="20"/>
        </w:rPr>
        <w:t xml:space="preserve"> Subject</w:t>
      </w:r>
    </w:p>
    <w:p w:rsidR="003A3754" w:rsidRPr="003A3754" w:rsidRDefault="003A3754" w:rsidP="005D524D">
      <w:pPr>
        <w:spacing w:before="120" w:after="0" w:line="240" w:lineRule="auto"/>
        <w:rPr>
          <w:rFonts w:ascii="Arial" w:hAnsi="Arial" w:cs="Arial"/>
          <w:b/>
          <w:sz w:val="20"/>
        </w:rPr>
      </w:pPr>
      <w:r>
        <w:rPr>
          <w:noProof/>
        </w:rPr>
        <w:drawing>
          <wp:inline distT="0" distB="0" distL="0" distR="0" wp14:anchorId="324A5880" wp14:editId="7DDD4098">
            <wp:extent cx="6891867" cy="2396067"/>
            <wp:effectExtent l="0" t="0" r="23495" b="234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4750" w:rsidRDefault="009569CD" w:rsidP="00CC4272">
      <w:pPr>
        <w:spacing w:before="120" w:after="0" w:line="240" w:lineRule="auto"/>
        <w:rPr>
          <w:rFonts w:ascii="Arial" w:hAnsi="Arial" w:cs="Arial"/>
          <w:sz w:val="20"/>
        </w:rPr>
      </w:pPr>
      <w:r w:rsidRPr="00556450">
        <w:rPr>
          <w:rFonts w:ascii="Arial" w:hAnsi="Arial" w:cs="Arial"/>
          <w:sz w:val="20"/>
        </w:rPr>
        <w:lastRenderedPageBreak/>
        <w:t xml:space="preserve"> </w:t>
      </w:r>
      <w:r w:rsidR="00734750">
        <w:rPr>
          <w:rFonts w:ascii="Arial" w:hAnsi="Arial" w:cs="Arial"/>
          <w:sz w:val="20"/>
        </w:rPr>
        <w:t xml:space="preserve">In looking at retention and graduation rates, common questions are “are these rates good?” and “what should they be?”   Because Universities are currently only required to publish information on retention and graduation rates for their first-time full-time entering freshmen, most schools do not publish information on any other populations.  Thus, it is difficult to find comparable rates with which to benchmark our student success.  </w:t>
      </w:r>
    </w:p>
    <w:p w:rsidR="003A3754" w:rsidRDefault="003A3754" w:rsidP="004A41AB">
      <w:pPr>
        <w:spacing w:before="120" w:after="0" w:line="240" w:lineRule="auto"/>
        <w:rPr>
          <w:rFonts w:ascii="Arial" w:hAnsi="Arial" w:cs="Arial"/>
          <w:sz w:val="20"/>
        </w:rPr>
      </w:pPr>
      <w:r>
        <w:rPr>
          <w:rFonts w:ascii="Arial" w:hAnsi="Arial" w:cs="Arial"/>
          <w:sz w:val="20"/>
        </w:rPr>
        <w:t>The Retention and Graduation Rate Working Group has noted that our graduation rates, as defined as being awarded a credential, are low</w:t>
      </w:r>
      <w:r w:rsidR="00734750">
        <w:rPr>
          <w:rFonts w:ascii="Arial" w:hAnsi="Arial" w:cs="Arial"/>
          <w:sz w:val="20"/>
        </w:rPr>
        <w:t>er than we’d like</w:t>
      </w:r>
      <w:r>
        <w:rPr>
          <w:rFonts w:ascii="Arial" w:hAnsi="Arial" w:cs="Arial"/>
          <w:sz w:val="20"/>
        </w:rPr>
        <w:t xml:space="preserve">.  While a large number of students complete the required coursework, a significant number are not receiving their credential.  The Working Group has identified some opportunities and continues to discuss ways we can improve our student success rates with these programs.  </w:t>
      </w:r>
    </w:p>
    <w:p w:rsidR="003A3754" w:rsidRDefault="003A3754" w:rsidP="004A41AB">
      <w:pPr>
        <w:spacing w:before="120" w:after="0" w:line="240" w:lineRule="auto"/>
        <w:rPr>
          <w:rFonts w:ascii="Arial" w:hAnsi="Arial" w:cs="Arial"/>
          <w:sz w:val="20"/>
        </w:rPr>
      </w:pPr>
    </w:p>
    <w:p w:rsidR="003A3754" w:rsidRPr="002375B8" w:rsidRDefault="003A3754" w:rsidP="004A41AB">
      <w:pPr>
        <w:spacing w:before="120" w:after="0" w:line="240" w:lineRule="auto"/>
        <w:rPr>
          <w:rFonts w:ascii="Arial" w:hAnsi="Arial" w:cs="Arial"/>
          <w:b/>
        </w:rPr>
      </w:pPr>
      <w:r w:rsidRPr="002375B8">
        <w:rPr>
          <w:rFonts w:ascii="Arial" w:hAnsi="Arial" w:cs="Arial"/>
          <w:b/>
        </w:rPr>
        <w:t>Master of Arts</w:t>
      </w:r>
    </w:p>
    <w:p w:rsidR="003A3754" w:rsidRDefault="003A3754" w:rsidP="004A41AB">
      <w:pPr>
        <w:spacing w:before="120" w:after="0" w:line="240" w:lineRule="auto"/>
        <w:rPr>
          <w:rFonts w:ascii="Arial" w:hAnsi="Arial" w:cs="Arial"/>
          <w:sz w:val="20"/>
        </w:rPr>
      </w:pPr>
      <w:r>
        <w:rPr>
          <w:rFonts w:ascii="Arial" w:hAnsi="Arial" w:cs="Arial"/>
          <w:sz w:val="20"/>
        </w:rPr>
        <w:t xml:space="preserve">A student seeking a Master of Arts in Education degree has a large number of different programs to choose from.  It isn’t unusual that a student initially chooses one path but changes their mind and pursues a different program.  Thus, it is difficult to track student success rates for individual programs.  </w:t>
      </w:r>
      <w:r w:rsidR="000975F8">
        <w:rPr>
          <w:rFonts w:ascii="Arial" w:hAnsi="Arial" w:cs="Arial"/>
          <w:sz w:val="20"/>
        </w:rPr>
        <w:t xml:space="preserve">The graph below has our retention and graduation rates for all our Master of Arts students.  </w:t>
      </w:r>
    </w:p>
    <w:p w:rsidR="003A3754" w:rsidRDefault="003A3754" w:rsidP="004A41AB">
      <w:pPr>
        <w:spacing w:before="120" w:after="0" w:line="240" w:lineRule="auto"/>
        <w:rPr>
          <w:rFonts w:ascii="Arial" w:hAnsi="Arial" w:cs="Arial"/>
          <w:sz w:val="20"/>
        </w:rPr>
      </w:pPr>
    </w:p>
    <w:p w:rsidR="003A3754" w:rsidRPr="003A3754" w:rsidRDefault="003A3754" w:rsidP="003A3754">
      <w:pPr>
        <w:spacing w:before="120" w:after="0" w:line="240" w:lineRule="auto"/>
        <w:rPr>
          <w:rFonts w:ascii="Arial" w:hAnsi="Arial" w:cs="Arial"/>
          <w:b/>
          <w:sz w:val="20"/>
        </w:rPr>
      </w:pPr>
      <w:r>
        <w:rPr>
          <w:rFonts w:ascii="Arial" w:hAnsi="Arial" w:cs="Arial"/>
          <w:b/>
          <w:sz w:val="20"/>
        </w:rPr>
        <w:t xml:space="preserve">Graph </w:t>
      </w:r>
      <w:r w:rsidR="005E73C6">
        <w:rPr>
          <w:rFonts w:ascii="Arial" w:hAnsi="Arial" w:cs="Arial"/>
          <w:b/>
          <w:sz w:val="20"/>
        </w:rPr>
        <w:t>3</w:t>
      </w:r>
      <w:r w:rsidRPr="003A3754">
        <w:rPr>
          <w:rFonts w:ascii="Arial" w:hAnsi="Arial" w:cs="Arial"/>
          <w:b/>
          <w:sz w:val="20"/>
        </w:rPr>
        <w:t xml:space="preserve">:  Retention and Graduation Rates for </w:t>
      </w:r>
      <w:r w:rsidR="005E73C6">
        <w:rPr>
          <w:rFonts w:ascii="Arial" w:hAnsi="Arial" w:cs="Arial"/>
          <w:b/>
          <w:sz w:val="20"/>
        </w:rPr>
        <w:t>Master of Arts in Education</w:t>
      </w:r>
    </w:p>
    <w:p w:rsidR="003A3754" w:rsidRDefault="003A3754" w:rsidP="004A41AB">
      <w:pPr>
        <w:spacing w:before="120" w:after="0" w:line="240" w:lineRule="auto"/>
        <w:rPr>
          <w:rFonts w:ascii="Arial" w:hAnsi="Arial" w:cs="Arial"/>
          <w:sz w:val="20"/>
        </w:rPr>
      </w:pPr>
      <w:r>
        <w:rPr>
          <w:noProof/>
        </w:rPr>
        <w:drawing>
          <wp:inline distT="0" distB="0" distL="0" distR="0" wp14:anchorId="0724021C" wp14:editId="7A1BF8DD">
            <wp:extent cx="6934200" cy="24384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4750" w:rsidRPr="00E27821" w:rsidRDefault="00E27821" w:rsidP="00734750">
      <w:pPr>
        <w:spacing w:before="120" w:after="0" w:line="240" w:lineRule="auto"/>
        <w:rPr>
          <w:rFonts w:ascii="Arial" w:hAnsi="Arial" w:cs="Arial"/>
          <w:sz w:val="20"/>
        </w:rPr>
      </w:pPr>
      <w:r w:rsidRPr="00E27821">
        <w:rPr>
          <w:rFonts w:ascii="Arial" w:hAnsi="Arial" w:cs="Arial"/>
          <w:sz w:val="20"/>
        </w:rPr>
        <w:t>While it is difficult to find retention and graduation rates for other universities’ Masters of Arts in Education programs, we can compare the School of Education rates to those of our graduate programs in the School of Business</w:t>
      </w:r>
      <w:r>
        <w:rPr>
          <w:rFonts w:ascii="Arial" w:hAnsi="Arial" w:cs="Arial"/>
          <w:sz w:val="20"/>
        </w:rPr>
        <w:t xml:space="preserve">.  While these programs are dissimilar in many ways, looking at the School of Business rates can help us understand what might be considered a “good” graduation rate for a graduate program.  Graph 4 below has the retention and graduation rates for the School of Business graduates, combining the rates for both the Master of Arts in Management and the MBA programs.  </w:t>
      </w:r>
    </w:p>
    <w:p w:rsidR="00E27821" w:rsidRDefault="00E27821" w:rsidP="00734750">
      <w:pPr>
        <w:spacing w:before="120" w:after="0" w:line="240" w:lineRule="auto"/>
        <w:rPr>
          <w:rFonts w:ascii="Arial" w:hAnsi="Arial" w:cs="Arial"/>
          <w:b/>
          <w:sz w:val="20"/>
        </w:rPr>
      </w:pPr>
    </w:p>
    <w:p w:rsidR="00E27821" w:rsidRPr="00E27821" w:rsidRDefault="00E27821" w:rsidP="00734750">
      <w:pPr>
        <w:spacing w:before="120" w:after="0" w:line="240" w:lineRule="auto"/>
        <w:rPr>
          <w:rFonts w:ascii="Arial" w:hAnsi="Arial" w:cs="Arial"/>
          <w:sz w:val="20"/>
        </w:rPr>
      </w:pPr>
      <w:r w:rsidRPr="00E27821">
        <w:rPr>
          <w:rFonts w:ascii="Arial" w:hAnsi="Arial" w:cs="Arial"/>
          <w:sz w:val="20"/>
        </w:rPr>
        <w:t xml:space="preserve">In comparing the rates for the two schools, the School of Education’s retention rates are higher, but the graduation rates are lower.  </w:t>
      </w:r>
      <w:r w:rsidR="00CC4272">
        <w:rPr>
          <w:rFonts w:ascii="Arial" w:hAnsi="Arial" w:cs="Arial"/>
          <w:sz w:val="20"/>
        </w:rPr>
        <w:t xml:space="preserve">As the Retention and Graduation Rate Working Group continues to meet, we are planning to explore the challenges and opportunities facing our Masters of Art students.  </w:t>
      </w:r>
    </w:p>
    <w:p w:rsidR="00E27821" w:rsidRDefault="00E27821" w:rsidP="00734750">
      <w:pPr>
        <w:spacing w:before="120" w:after="0" w:line="240" w:lineRule="auto"/>
        <w:rPr>
          <w:rFonts w:ascii="Arial" w:hAnsi="Arial" w:cs="Arial"/>
          <w:b/>
          <w:sz w:val="20"/>
        </w:rPr>
      </w:pPr>
    </w:p>
    <w:p w:rsidR="00E27821" w:rsidRDefault="00E27821" w:rsidP="00734750">
      <w:pPr>
        <w:spacing w:before="120" w:after="0" w:line="240" w:lineRule="auto"/>
        <w:rPr>
          <w:rFonts w:ascii="Arial" w:hAnsi="Arial" w:cs="Arial"/>
          <w:b/>
          <w:sz w:val="20"/>
        </w:rPr>
      </w:pPr>
    </w:p>
    <w:p w:rsidR="00E27821" w:rsidRDefault="00E27821" w:rsidP="00734750">
      <w:pPr>
        <w:spacing w:before="120" w:after="0" w:line="240" w:lineRule="auto"/>
        <w:rPr>
          <w:rFonts w:ascii="Arial" w:hAnsi="Arial" w:cs="Arial"/>
          <w:b/>
          <w:sz w:val="20"/>
        </w:rPr>
      </w:pPr>
    </w:p>
    <w:p w:rsidR="00E27821" w:rsidRDefault="00E27821" w:rsidP="00734750">
      <w:pPr>
        <w:spacing w:before="120" w:after="0" w:line="240" w:lineRule="auto"/>
        <w:rPr>
          <w:rFonts w:ascii="Arial" w:hAnsi="Arial" w:cs="Arial"/>
          <w:b/>
          <w:sz w:val="20"/>
        </w:rPr>
      </w:pPr>
    </w:p>
    <w:p w:rsidR="00E27821" w:rsidRDefault="00E27821" w:rsidP="00734750">
      <w:pPr>
        <w:spacing w:before="120" w:after="0" w:line="240" w:lineRule="auto"/>
        <w:rPr>
          <w:rFonts w:ascii="Arial" w:hAnsi="Arial" w:cs="Arial"/>
          <w:b/>
          <w:sz w:val="20"/>
        </w:rPr>
      </w:pPr>
    </w:p>
    <w:p w:rsidR="00E27821" w:rsidRDefault="00E27821" w:rsidP="00734750">
      <w:pPr>
        <w:spacing w:before="120" w:after="0" w:line="240" w:lineRule="auto"/>
        <w:rPr>
          <w:rFonts w:ascii="Arial" w:hAnsi="Arial" w:cs="Arial"/>
          <w:b/>
          <w:sz w:val="20"/>
        </w:rPr>
      </w:pPr>
    </w:p>
    <w:p w:rsidR="00E27821" w:rsidRDefault="00E27821" w:rsidP="00734750">
      <w:pPr>
        <w:spacing w:before="120" w:after="0" w:line="240" w:lineRule="auto"/>
        <w:rPr>
          <w:rFonts w:ascii="Arial" w:hAnsi="Arial" w:cs="Arial"/>
          <w:b/>
          <w:sz w:val="20"/>
        </w:rPr>
      </w:pPr>
    </w:p>
    <w:p w:rsidR="00E27821" w:rsidRDefault="00E27821" w:rsidP="00734750">
      <w:pPr>
        <w:spacing w:before="120" w:after="0" w:line="240" w:lineRule="auto"/>
        <w:rPr>
          <w:rFonts w:ascii="Arial" w:hAnsi="Arial" w:cs="Arial"/>
          <w:b/>
          <w:sz w:val="20"/>
        </w:rPr>
      </w:pPr>
    </w:p>
    <w:p w:rsidR="00734750" w:rsidRPr="003A3754" w:rsidRDefault="00734750" w:rsidP="00734750">
      <w:pPr>
        <w:spacing w:before="120" w:after="0" w:line="240" w:lineRule="auto"/>
        <w:rPr>
          <w:rFonts w:ascii="Arial" w:hAnsi="Arial" w:cs="Arial"/>
          <w:b/>
          <w:sz w:val="20"/>
        </w:rPr>
      </w:pPr>
      <w:r>
        <w:rPr>
          <w:rFonts w:ascii="Arial" w:hAnsi="Arial" w:cs="Arial"/>
          <w:b/>
          <w:sz w:val="20"/>
        </w:rPr>
        <w:lastRenderedPageBreak/>
        <w:t>Graph 4</w:t>
      </w:r>
      <w:r w:rsidRPr="003A3754">
        <w:rPr>
          <w:rFonts w:ascii="Arial" w:hAnsi="Arial" w:cs="Arial"/>
          <w:b/>
          <w:sz w:val="20"/>
        </w:rPr>
        <w:t xml:space="preserve">:  Retention and Graduation Rates for </w:t>
      </w:r>
      <w:r>
        <w:rPr>
          <w:rFonts w:ascii="Arial" w:hAnsi="Arial" w:cs="Arial"/>
          <w:b/>
          <w:sz w:val="20"/>
        </w:rPr>
        <w:t>School of Business Graduates (MA and MBA combined)</w:t>
      </w:r>
    </w:p>
    <w:p w:rsidR="003A3754" w:rsidRDefault="00734750" w:rsidP="004A41AB">
      <w:pPr>
        <w:spacing w:before="120" w:after="0" w:line="240" w:lineRule="auto"/>
        <w:rPr>
          <w:rFonts w:ascii="Arial" w:hAnsi="Arial" w:cs="Arial"/>
          <w:sz w:val="20"/>
        </w:rPr>
      </w:pPr>
      <w:r>
        <w:rPr>
          <w:noProof/>
        </w:rPr>
        <w:drawing>
          <wp:inline distT="0" distB="0" distL="0" distR="0" wp14:anchorId="2551BC17" wp14:editId="63F46278">
            <wp:extent cx="6874933" cy="2489200"/>
            <wp:effectExtent l="0" t="0" r="21590" b="2540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3A3754">
        <w:rPr>
          <w:rFonts w:ascii="Arial" w:hAnsi="Arial" w:cs="Arial"/>
          <w:sz w:val="20"/>
        </w:rPr>
        <w:t xml:space="preserve"> </w:t>
      </w:r>
    </w:p>
    <w:p w:rsidR="00667945" w:rsidRDefault="00667945" w:rsidP="00667945">
      <w:pPr>
        <w:spacing w:before="120" w:after="0" w:line="240" w:lineRule="auto"/>
        <w:rPr>
          <w:rFonts w:ascii="Arial" w:hAnsi="Arial" w:cs="Arial"/>
          <w:b/>
        </w:rPr>
      </w:pPr>
      <w:r>
        <w:rPr>
          <w:rFonts w:ascii="Arial" w:hAnsi="Arial" w:cs="Arial"/>
          <w:b/>
        </w:rPr>
        <w:t>Next Steps</w:t>
      </w:r>
    </w:p>
    <w:p w:rsidR="00CC4272" w:rsidRPr="00947F23" w:rsidRDefault="00667945" w:rsidP="00CC4272">
      <w:pPr>
        <w:spacing w:before="120" w:after="0" w:line="240" w:lineRule="auto"/>
        <w:rPr>
          <w:rFonts w:ascii="Arial" w:hAnsi="Arial" w:cs="Arial"/>
          <w:sz w:val="20"/>
        </w:rPr>
      </w:pPr>
      <w:r w:rsidRPr="00CC4272">
        <w:rPr>
          <w:rFonts w:ascii="Arial" w:hAnsi="Arial" w:cs="Arial"/>
          <w:sz w:val="20"/>
        </w:rPr>
        <w:t xml:space="preserve">Over our meetings in the fall, the Retention &amp; Graduation Rate Working Group has focused primarily on our teaching credential students.  We’ve made significant progress in understanding enrollment patterns and barriers for students seeking to achieve their credential.  We will are hoping to develop policies and procedures which will have a positive impact on our student success rates.  </w:t>
      </w:r>
      <w:r w:rsidR="00CC4272">
        <w:rPr>
          <w:rFonts w:ascii="Arial" w:hAnsi="Arial" w:cs="Arial"/>
          <w:sz w:val="20"/>
        </w:rPr>
        <w:t>We are also looking forward to more closely analyzing student success rates for the Master of Arts in Education programs.</w:t>
      </w:r>
      <w:r w:rsidR="00CC4272" w:rsidRPr="00CC4272">
        <w:rPr>
          <w:rFonts w:ascii="Arial" w:hAnsi="Arial" w:cs="Arial"/>
          <w:sz w:val="20"/>
        </w:rPr>
        <w:t xml:space="preserve"> </w:t>
      </w:r>
      <w:r w:rsidR="00CC4272">
        <w:rPr>
          <w:rFonts w:ascii="Arial" w:hAnsi="Arial" w:cs="Arial"/>
          <w:sz w:val="20"/>
        </w:rPr>
        <w:t xml:space="preserve">Please feel free to contact a member of the group if you have any questions or recommendations.  </w:t>
      </w:r>
    </w:p>
    <w:p w:rsidR="00CC4272" w:rsidRDefault="00CC4272" w:rsidP="00CC4272">
      <w:pPr>
        <w:spacing w:before="120" w:after="0" w:line="240" w:lineRule="auto"/>
        <w:rPr>
          <w:rFonts w:ascii="Arial" w:hAnsi="Arial" w:cs="Arial"/>
          <w:sz w:val="20"/>
        </w:rPr>
      </w:pPr>
    </w:p>
    <w:p w:rsidR="00667945" w:rsidRDefault="00667945" w:rsidP="00667945">
      <w:pPr>
        <w:spacing w:before="120" w:after="0" w:line="240" w:lineRule="auto"/>
        <w:rPr>
          <w:rFonts w:ascii="Arial" w:hAnsi="Arial" w:cs="Arial"/>
          <w:sz w:val="20"/>
        </w:rPr>
      </w:pPr>
    </w:p>
    <w:p w:rsidR="00CC4272" w:rsidRDefault="00CC4272" w:rsidP="00667945">
      <w:pPr>
        <w:spacing w:before="120" w:after="0" w:line="240" w:lineRule="auto"/>
        <w:rPr>
          <w:rFonts w:ascii="Arial" w:hAnsi="Arial" w:cs="Arial"/>
          <w:sz w:val="20"/>
        </w:rPr>
      </w:pPr>
    </w:p>
    <w:p w:rsidR="00CC4272" w:rsidRPr="00CC4272" w:rsidRDefault="00CC4272" w:rsidP="00667945">
      <w:pPr>
        <w:spacing w:before="120" w:after="0" w:line="240" w:lineRule="auto"/>
        <w:rPr>
          <w:rFonts w:ascii="Arial" w:hAnsi="Arial" w:cs="Arial"/>
          <w:sz w:val="20"/>
        </w:rPr>
      </w:pPr>
    </w:p>
    <w:p w:rsidR="003A3754" w:rsidRDefault="003A3754" w:rsidP="004A41AB">
      <w:pPr>
        <w:spacing w:before="120" w:after="0" w:line="240" w:lineRule="auto"/>
        <w:rPr>
          <w:rFonts w:ascii="Arial" w:hAnsi="Arial" w:cs="Arial"/>
          <w:sz w:val="20"/>
        </w:rPr>
      </w:pPr>
    </w:p>
    <w:sectPr w:rsidR="003A3754" w:rsidSect="005717B8">
      <w:headerReference w:type="default" r:id="rId13"/>
      <w:footerReference w:type="default" r:id="rId14"/>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15B" w:rsidRDefault="00D6115B" w:rsidP="009D788C">
      <w:pPr>
        <w:spacing w:after="0" w:line="240" w:lineRule="auto"/>
      </w:pPr>
      <w:r>
        <w:separator/>
      </w:r>
    </w:p>
  </w:endnote>
  <w:endnote w:type="continuationSeparator" w:id="0">
    <w:p w:rsidR="00D6115B" w:rsidRDefault="00D6115B" w:rsidP="009D7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15B" w:rsidRDefault="00D6115B">
    <w:pPr>
      <w:pStyle w:val="Footer"/>
      <w:pBdr>
        <w:top w:val="thinThickSmallGap" w:sz="24" w:space="1" w:color="622423" w:themeColor="accent2" w:themeShade="7F"/>
      </w:pBdr>
      <w:rPr>
        <w:rFonts w:asciiTheme="majorHAnsi" w:hAnsiTheme="majorHAnsi"/>
      </w:rPr>
    </w:pPr>
    <w:r>
      <w:rPr>
        <w:rFonts w:asciiTheme="majorHAnsi" w:hAnsiTheme="majorHAnsi"/>
      </w:rPr>
      <w:t>Institutional Research</w:t>
    </w:r>
    <w:r>
      <w:rPr>
        <w:rFonts w:asciiTheme="majorHAnsi" w:hAnsiTheme="majorHAnsi"/>
      </w:rPr>
      <w:ptab w:relativeTo="margin" w:alignment="right" w:leader="none"/>
    </w:r>
    <w:r>
      <w:rPr>
        <w:rFonts w:asciiTheme="majorHAnsi" w:hAnsiTheme="majorHAnsi"/>
      </w:rPr>
      <w:t xml:space="preserve">Page </w:t>
    </w:r>
    <w:r w:rsidR="00947F23">
      <w:fldChar w:fldCharType="begin"/>
    </w:r>
    <w:r w:rsidR="00947F23">
      <w:instrText xml:space="preserve"> PAGE   \* MERGEFORMAT </w:instrText>
    </w:r>
    <w:r w:rsidR="00947F23">
      <w:fldChar w:fldCharType="separate"/>
    </w:r>
    <w:r w:rsidR="001E05E3" w:rsidRPr="001E05E3">
      <w:rPr>
        <w:rFonts w:asciiTheme="majorHAnsi" w:hAnsiTheme="majorHAnsi"/>
        <w:noProof/>
      </w:rPr>
      <w:t>1</w:t>
    </w:r>
    <w:r w:rsidR="00947F23">
      <w:rPr>
        <w:rFonts w:asciiTheme="majorHAnsi" w:hAnsiTheme="majorHAnsi"/>
        <w:noProof/>
      </w:rPr>
      <w:fldChar w:fldCharType="end"/>
    </w:r>
  </w:p>
  <w:p w:rsidR="00D6115B" w:rsidRDefault="00D611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15B" w:rsidRDefault="00D6115B" w:rsidP="009D788C">
      <w:pPr>
        <w:spacing w:after="0" w:line="240" w:lineRule="auto"/>
      </w:pPr>
      <w:r>
        <w:separator/>
      </w:r>
    </w:p>
  </w:footnote>
  <w:footnote w:type="continuationSeparator" w:id="0">
    <w:p w:rsidR="00D6115B" w:rsidRDefault="00D6115B" w:rsidP="009D78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115B" w:rsidRDefault="00D6115B">
    <w:pPr>
      <w:pStyle w:val="Header"/>
    </w:pPr>
    <w:r>
      <w:t>U of R Scanner</w:t>
    </w:r>
  </w:p>
  <w:p w:rsidR="00D6115B" w:rsidRDefault="00D61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802085"/>
    <w:multiLevelType w:val="hybridMultilevel"/>
    <w:tmpl w:val="AC5839C8"/>
    <w:lvl w:ilvl="0" w:tplc="AF0CCA3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095"/>
    <w:rsid w:val="00041860"/>
    <w:rsid w:val="000470D6"/>
    <w:rsid w:val="000526C7"/>
    <w:rsid w:val="0009605F"/>
    <w:rsid w:val="000975F8"/>
    <w:rsid w:val="000F12B3"/>
    <w:rsid w:val="00121070"/>
    <w:rsid w:val="001216D8"/>
    <w:rsid w:val="001230A0"/>
    <w:rsid w:val="00184236"/>
    <w:rsid w:val="00194724"/>
    <w:rsid w:val="001954AB"/>
    <w:rsid w:val="001E05E3"/>
    <w:rsid w:val="00224C6E"/>
    <w:rsid w:val="002375B8"/>
    <w:rsid w:val="002476BF"/>
    <w:rsid w:val="0024789D"/>
    <w:rsid w:val="00294412"/>
    <w:rsid w:val="0035798C"/>
    <w:rsid w:val="003A3754"/>
    <w:rsid w:val="003B3EF0"/>
    <w:rsid w:val="003C172A"/>
    <w:rsid w:val="003F6A31"/>
    <w:rsid w:val="00420542"/>
    <w:rsid w:val="004A41AB"/>
    <w:rsid w:val="004D7BBF"/>
    <w:rsid w:val="00543B2B"/>
    <w:rsid w:val="0055283A"/>
    <w:rsid w:val="00556450"/>
    <w:rsid w:val="005717B8"/>
    <w:rsid w:val="005C53FA"/>
    <w:rsid w:val="005D0667"/>
    <w:rsid w:val="005D46AF"/>
    <w:rsid w:val="005D524D"/>
    <w:rsid w:val="005E4DE6"/>
    <w:rsid w:val="005E73C6"/>
    <w:rsid w:val="00614724"/>
    <w:rsid w:val="00631638"/>
    <w:rsid w:val="00631DB3"/>
    <w:rsid w:val="00633C4A"/>
    <w:rsid w:val="00663083"/>
    <w:rsid w:val="00665575"/>
    <w:rsid w:val="00667945"/>
    <w:rsid w:val="00674423"/>
    <w:rsid w:val="006A2C39"/>
    <w:rsid w:val="006E6292"/>
    <w:rsid w:val="00734750"/>
    <w:rsid w:val="007C06CA"/>
    <w:rsid w:val="007D0D14"/>
    <w:rsid w:val="007D3F13"/>
    <w:rsid w:val="007F77A4"/>
    <w:rsid w:val="00800B40"/>
    <w:rsid w:val="008127C7"/>
    <w:rsid w:val="00824D56"/>
    <w:rsid w:val="00840EBE"/>
    <w:rsid w:val="00841ED8"/>
    <w:rsid w:val="00863A78"/>
    <w:rsid w:val="008D6383"/>
    <w:rsid w:val="008F2C45"/>
    <w:rsid w:val="009409B4"/>
    <w:rsid w:val="00945395"/>
    <w:rsid w:val="00947F23"/>
    <w:rsid w:val="00952AE0"/>
    <w:rsid w:val="009558D1"/>
    <w:rsid w:val="00956940"/>
    <w:rsid w:val="009569CD"/>
    <w:rsid w:val="00973DA4"/>
    <w:rsid w:val="009A412F"/>
    <w:rsid w:val="009D788C"/>
    <w:rsid w:val="009E5483"/>
    <w:rsid w:val="009E6269"/>
    <w:rsid w:val="00A14A71"/>
    <w:rsid w:val="00A205C2"/>
    <w:rsid w:val="00A21B40"/>
    <w:rsid w:val="00A46C36"/>
    <w:rsid w:val="00AA6500"/>
    <w:rsid w:val="00AC05B7"/>
    <w:rsid w:val="00AC548F"/>
    <w:rsid w:val="00AF10E0"/>
    <w:rsid w:val="00AF3A41"/>
    <w:rsid w:val="00B44084"/>
    <w:rsid w:val="00B45CA2"/>
    <w:rsid w:val="00B554AA"/>
    <w:rsid w:val="00B87A86"/>
    <w:rsid w:val="00B9632B"/>
    <w:rsid w:val="00BC04EF"/>
    <w:rsid w:val="00BF37BE"/>
    <w:rsid w:val="00BF5830"/>
    <w:rsid w:val="00C30DCB"/>
    <w:rsid w:val="00C362BB"/>
    <w:rsid w:val="00C43864"/>
    <w:rsid w:val="00C7263D"/>
    <w:rsid w:val="00CC3095"/>
    <w:rsid w:val="00CC4272"/>
    <w:rsid w:val="00CE0215"/>
    <w:rsid w:val="00CE64D8"/>
    <w:rsid w:val="00CF0345"/>
    <w:rsid w:val="00D3526C"/>
    <w:rsid w:val="00D6115B"/>
    <w:rsid w:val="00D61741"/>
    <w:rsid w:val="00DA2470"/>
    <w:rsid w:val="00DA3437"/>
    <w:rsid w:val="00DE0567"/>
    <w:rsid w:val="00E20F46"/>
    <w:rsid w:val="00E27821"/>
    <w:rsid w:val="00E27A39"/>
    <w:rsid w:val="00E438D4"/>
    <w:rsid w:val="00E453A5"/>
    <w:rsid w:val="00EE0131"/>
    <w:rsid w:val="00EE4E70"/>
    <w:rsid w:val="00EF75C6"/>
    <w:rsid w:val="00F0062A"/>
    <w:rsid w:val="00F318A5"/>
    <w:rsid w:val="00FE1C00"/>
    <w:rsid w:val="00FE3E00"/>
    <w:rsid w:val="00FE6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095"/>
    <w:pPr>
      <w:ind w:left="720"/>
      <w:contextualSpacing/>
    </w:pPr>
  </w:style>
  <w:style w:type="paragraph" w:styleId="BalloonText">
    <w:name w:val="Balloon Text"/>
    <w:basedOn w:val="Normal"/>
    <w:link w:val="BalloonTextChar"/>
    <w:uiPriority w:val="99"/>
    <w:semiHidden/>
    <w:unhideWhenUsed/>
    <w:rsid w:val="000F1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2B3"/>
    <w:rPr>
      <w:rFonts w:ascii="Tahoma" w:hAnsi="Tahoma" w:cs="Tahoma"/>
      <w:sz w:val="16"/>
      <w:szCs w:val="16"/>
    </w:rPr>
  </w:style>
  <w:style w:type="paragraph" w:styleId="Header">
    <w:name w:val="header"/>
    <w:basedOn w:val="Normal"/>
    <w:link w:val="HeaderChar"/>
    <w:uiPriority w:val="99"/>
    <w:unhideWhenUsed/>
    <w:rsid w:val="009D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88C"/>
  </w:style>
  <w:style w:type="paragraph" w:styleId="Footer">
    <w:name w:val="footer"/>
    <w:basedOn w:val="Normal"/>
    <w:link w:val="FooterChar"/>
    <w:uiPriority w:val="99"/>
    <w:unhideWhenUsed/>
    <w:rsid w:val="009D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88C"/>
  </w:style>
  <w:style w:type="character" w:styleId="Hyperlink">
    <w:name w:val="Hyperlink"/>
    <w:basedOn w:val="DefaultParagraphFont"/>
    <w:uiPriority w:val="99"/>
    <w:unhideWhenUsed/>
    <w:rsid w:val="005528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095"/>
    <w:pPr>
      <w:ind w:left="720"/>
      <w:contextualSpacing/>
    </w:pPr>
  </w:style>
  <w:style w:type="paragraph" w:styleId="BalloonText">
    <w:name w:val="Balloon Text"/>
    <w:basedOn w:val="Normal"/>
    <w:link w:val="BalloonTextChar"/>
    <w:uiPriority w:val="99"/>
    <w:semiHidden/>
    <w:unhideWhenUsed/>
    <w:rsid w:val="000F1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2B3"/>
    <w:rPr>
      <w:rFonts w:ascii="Tahoma" w:hAnsi="Tahoma" w:cs="Tahoma"/>
      <w:sz w:val="16"/>
      <w:szCs w:val="16"/>
    </w:rPr>
  </w:style>
  <w:style w:type="paragraph" w:styleId="Header">
    <w:name w:val="header"/>
    <w:basedOn w:val="Normal"/>
    <w:link w:val="HeaderChar"/>
    <w:uiPriority w:val="99"/>
    <w:unhideWhenUsed/>
    <w:rsid w:val="009D78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88C"/>
  </w:style>
  <w:style w:type="paragraph" w:styleId="Footer">
    <w:name w:val="footer"/>
    <w:basedOn w:val="Normal"/>
    <w:link w:val="FooterChar"/>
    <w:uiPriority w:val="99"/>
    <w:unhideWhenUsed/>
    <w:rsid w:val="009D78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88C"/>
  </w:style>
  <w:style w:type="character" w:styleId="Hyperlink">
    <w:name w:val="Hyperlink"/>
    <w:basedOn w:val="DefaultParagraphFont"/>
    <w:uiPriority w:val="99"/>
    <w:unhideWhenUsed/>
    <w:rsid w:val="005528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0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s-red-fs-01\businessfinance\Institutional%20Research\Public%20View%20Reports%20%20ALL%20SCHOOLS\All%20Schools%20Retention%20and%20Graduation%20Rates%20Fall%20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red-fs-01\businessfinance\Institutional%20Research\Public%20View%20Reports%20%20ALL%20SCHOOLS\All%20Schools%20Retention%20and%20Graduation%20Rates%20Fall%20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red-fs-01\businessfinance\Institutional%20Research\Public%20View%20Reports%20%20ALL%20SCHOOLS\All%20Schools%20Retention%20and%20Graduation%20Rates%20Fall%2020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s-red-fs-01\businessfinance\Institutional%20Research\School%20of%20Business\SB%20Retention%20&amp;%20Grad%20Rates%20Stats%20Report%20October%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7.4020532589676294E-2"/>
          <c:y val="5.4085137795275573E-2"/>
          <c:w val="0.90688224518810145"/>
          <c:h val="0.63570802267189985"/>
        </c:manualLayout>
      </c:layout>
      <c:barChart>
        <c:barDir val="col"/>
        <c:grouping val="clustered"/>
        <c:varyColors val="0"/>
        <c:ser>
          <c:idx val="0"/>
          <c:order val="0"/>
          <c:tx>
            <c:strRef>
              <c:f>'Graphs with Data'!$A$143</c:f>
              <c:strCache>
                <c:ptCount val="1"/>
                <c:pt idx="0">
                  <c:v>1st to 2nd Semester Retention Rate</c:v>
                </c:pt>
              </c:strCache>
            </c:strRef>
          </c:tx>
          <c:invertIfNegative val="0"/>
          <c:dLbls>
            <c:dLbl>
              <c:idx val="2"/>
              <c:delete val="1"/>
            </c:dLbl>
            <c:dLbl>
              <c:idx val="5"/>
              <c:delete val="1"/>
            </c:dLbl>
            <c:dLbl>
              <c:idx val="8"/>
              <c:delete val="1"/>
            </c:dLbl>
            <c:spPr>
              <a:solidFill>
                <a:schemeClr val="bg1"/>
              </a:solidFill>
            </c:spPr>
            <c:txPr>
              <a:bodyPr/>
              <a:lstStyle/>
              <a:p>
                <a:pPr>
                  <a:defRPr b="1"/>
                </a:pPr>
                <a:endParaRPr lang="en-US"/>
              </a:p>
            </c:txPr>
            <c:showLegendKey val="0"/>
            <c:showVal val="1"/>
            <c:showCatName val="0"/>
            <c:showSerName val="0"/>
            <c:showPercent val="0"/>
            <c:showBubbleSize val="0"/>
            <c:showLeaderLines val="0"/>
          </c:dLbls>
          <c:cat>
            <c:strRef>
              <c:f>'Graphs with Data'!$E$142:$N$142</c:f>
              <c:strCache>
                <c:ptCount val="10"/>
                <c:pt idx="0">
                  <c:v>Fall 2009 Cohort</c:v>
                </c:pt>
                <c:pt idx="1">
                  <c:v>Winter 2010 Cohort</c:v>
                </c:pt>
                <c:pt idx="2">
                  <c:v>Spring 2010 Cohort</c:v>
                </c:pt>
                <c:pt idx="3">
                  <c:v>Fall 2010 Cohort</c:v>
                </c:pt>
                <c:pt idx="4">
                  <c:v>Winter 2011 Cohort</c:v>
                </c:pt>
                <c:pt idx="5">
                  <c:v>Spring 2011 Cohort</c:v>
                </c:pt>
                <c:pt idx="6">
                  <c:v>Fall 2011 Cohort</c:v>
                </c:pt>
                <c:pt idx="7">
                  <c:v>Winter 2012 Cohort</c:v>
                </c:pt>
                <c:pt idx="8">
                  <c:v>Spring 2012 Cohort</c:v>
                </c:pt>
                <c:pt idx="9">
                  <c:v>Fall 2012 Cohort</c:v>
                </c:pt>
              </c:strCache>
            </c:strRef>
          </c:cat>
          <c:val>
            <c:numRef>
              <c:f>'Graphs with Data'!$E$143:$N$143</c:f>
              <c:numCache>
                <c:formatCode>0%</c:formatCode>
                <c:ptCount val="10"/>
                <c:pt idx="0">
                  <c:v>0.73</c:v>
                </c:pt>
                <c:pt idx="1">
                  <c:v>0.74</c:v>
                </c:pt>
                <c:pt idx="2">
                  <c:v>0</c:v>
                </c:pt>
                <c:pt idx="3">
                  <c:v>0.78</c:v>
                </c:pt>
                <c:pt idx="4">
                  <c:v>1</c:v>
                </c:pt>
                <c:pt idx="5">
                  <c:v>0</c:v>
                </c:pt>
                <c:pt idx="6">
                  <c:v>0.54</c:v>
                </c:pt>
                <c:pt idx="7">
                  <c:v>0.45</c:v>
                </c:pt>
                <c:pt idx="8">
                  <c:v>0</c:v>
                </c:pt>
                <c:pt idx="9">
                  <c:v>0.77</c:v>
                </c:pt>
              </c:numCache>
            </c:numRef>
          </c:val>
        </c:ser>
        <c:ser>
          <c:idx val="2"/>
          <c:order val="1"/>
          <c:tx>
            <c:strRef>
              <c:f>'Graphs with Data'!$A$144</c:f>
              <c:strCache>
                <c:ptCount val="1"/>
                <c:pt idx="0">
                  <c:v>Graduation Rate</c:v>
                </c:pt>
              </c:strCache>
            </c:strRef>
          </c:tx>
          <c:invertIfNegative val="0"/>
          <c:dLbls>
            <c:dLbl>
              <c:idx val="2"/>
              <c:delete val="1"/>
            </c:dLbl>
            <c:dLbl>
              <c:idx val="4"/>
              <c:layout>
                <c:manualLayout>
                  <c:x val="5.5694792536897797E-3"/>
                  <c:y val="0"/>
                </c:manualLayout>
              </c:layout>
              <c:showLegendKey val="0"/>
              <c:showVal val="1"/>
              <c:showCatName val="0"/>
              <c:showSerName val="0"/>
              <c:showPercent val="0"/>
              <c:showBubbleSize val="0"/>
            </c:dLbl>
            <c:dLbl>
              <c:idx val="5"/>
              <c:delete val="1"/>
            </c:dLbl>
            <c:spPr>
              <a:solidFill>
                <a:schemeClr val="bg1"/>
              </a:solidFill>
            </c:spPr>
            <c:txPr>
              <a:bodyPr/>
              <a:lstStyle/>
              <a:p>
                <a:pPr>
                  <a:defRPr b="1"/>
                </a:pPr>
                <a:endParaRPr lang="en-US"/>
              </a:p>
            </c:txPr>
            <c:showLegendKey val="0"/>
            <c:showVal val="1"/>
            <c:showCatName val="0"/>
            <c:showSerName val="0"/>
            <c:showPercent val="0"/>
            <c:showBubbleSize val="0"/>
            <c:showLeaderLines val="0"/>
          </c:dLbls>
          <c:cat>
            <c:strRef>
              <c:f>'Graphs with Data'!$E$142:$N$142</c:f>
              <c:strCache>
                <c:ptCount val="10"/>
                <c:pt idx="0">
                  <c:v>Fall 2009 Cohort</c:v>
                </c:pt>
                <c:pt idx="1">
                  <c:v>Winter 2010 Cohort</c:v>
                </c:pt>
                <c:pt idx="2">
                  <c:v>Spring 2010 Cohort</c:v>
                </c:pt>
                <c:pt idx="3">
                  <c:v>Fall 2010 Cohort</c:v>
                </c:pt>
                <c:pt idx="4">
                  <c:v>Winter 2011 Cohort</c:v>
                </c:pt>
                <c:pt idx="5">
                  <c:v>Spring 2011 Cohort</c:v>
                </c:pt>
                <c:pt idx="6">
                  <c:v>Fall 2011 Cohort</c:v>
                </c:pt>
                <c:pt idx="7">
                  <c:v>Winter 2012 Cohort</c:v>
                </c:pt>
                <c:pt idx="8">
                  <c:v>Spring 2012 Cohort</c:v>
                </c:pt>
                <c:pt idx="9">
                  <c:v>Fall 2012 Cohort</c:v>
                </c:pt>
              </c:strCache>
            </c:strRef>
          </c:cat>
          <c:val>
            <c:numRef>
              <c:f>'Graphs with Data'!$E$144:$L$144</c:f>
              <c:numCache>
                <c:formatCode>0%</c:formatCode>
                <c:ptCount val="8"/>
                <c:pt idx="0">
                  <c:v>0.69</c:v>
                </c:pt>
                <c:pt idx="1">
                  <c:v>0.69</c:v>
                </c:pt>
                <c:pt idx="2">
                  <c:v>0</c:v>
                </c:pt>
                <c:pt idx="3">
                  <c:v>0.76</c:v>
                </c:pt>
                <c:pt idx="4">
                  <c:v>0.25</c:v>
                </c:pt>
                <c:pt idx="5">
                  <c:v>0</c:v>
                </c:pt>
                <c:pt idx="6">
                  <c:v>0.54</c:v>
                </c:pt>
                <c:pt idx="7">
                  <c:v>0.32</c:v>
                </c:pt>
              </c:numCache>
            </c:numRef>
          </c:val>
        </c:ser>
        <c:dLbls>
          <c:showLegendKey val="0"/>
          <c:showVal val="0"/>
          <c:showCatName val="0"/>
          <c:showSerName val="0"/>
          <c:showPercent val="0"/>
          <c:showBubbleSize val="0"/>
        </c:dLbls>
        <c:gapWidth val="75"/>
        <c:axId val="40005632"/>
        <c:axId val="40007168"/>
      </c:barChart>
      <c:catAx>
        <c:axId val="40005632"/>
        <c:scaling>
          <c:orientation val="minMax"/>
        </c:scaling>
        <c:delete val="0"/>
        <c:axPos val="b"/>
        <c:majorTickMark val="none"/>
        <c:minorTickMark val="none"/>
        <c:tickLblPos val="nextTo"/>
        <c:txPr>
          <a:bodyPr/>
          <a:lstStyle/>
          <a:p>
            <a:pPr>
              <a:defRPr sz="900" b="0"/>
            </a:pPr>
            <a:endParaRPr lang="en-US"/>
          </a:p>
        </c:txPr>
        <c:crossAx val="40007168"/>
        <c:crosses val="autoZero"/>
        <c:auto val="1"/>
        <c:lblAlgn val="ctr"/>
        <c:lblOffset val="100"/>
        <c:noMultiLvlLbl val="0"/>
      </c:catAx>
      <c:valAx>
        <c:axId val="40007168"/>
        <c:scaling>
          <c:orientation val="minMax"/>
          <c:max val="1"/>
        </c:scaling>
        <c:delete val="0"/>
        <c:axPos val="l"/>
        <c:majorGridlines/>
        <c:numFmt formatCode="0%" sourceLinked="1"/>
        <c:majorTickMark val="none"/>
        <c:minorTickMark val="none"/>
        <c:tickLblPos val="nextTo"/>
        <c:crossAx val="40005632"/>
        <c:crosses val="autoZero"/>
        <c:crossBetween val="between"/>
      </c:valAx>
    </c:plotArea>
    <c:legend>
      <c:legendPos val="b"/>
      <c:layout/>
      <c:overlay val="0"/>
      <c:txPr>
        <a:bodyPr/>
        <a:lstStyle/>
        <a:p>
          <a:pPr>
            <a:defRPr sz="1050" b="1"/>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7.4020532589676294E-2"/>
          <c:y val="3.480523493151854E-2"/>
          <c:w val="0.90688224518810145"/>
          <c:h val="0.66812919729074061"/>
        </c:manualLayout>
      </c:layout>
      <c:barChart>
        <c:barDir val="col"/>
        <c:grouping val="clustered"/>
        <c:varyColors val="0"/>
        <c:ser>
          <c:idx val="0"/>
          <c:order val="0"/>
          <c:tx>
            <c:strRef>
              <c:f>'Graphs with Data'!$A$169</c:f>
              <c:strCache>
                <c:ptCount val="1"/>
                <c:pt idx="0">
                  <c:v>1st to 3rd Semester Retention Rate</c:v>
                </c:pt>
              </c:strCache>
            </c:strRef>
          </c:tx>
          <c:invertIfNegative val="0"/>
          <c:dLbls>
            <c:dLbl>
              <c:idx val="2"/>
              <c:delete val="1"/>
            </c:dLbl>
            <c:dLbl>
              <c:idx val="5"/>
              <c:delete val="1"/>
            </c:dLbl>
            <c:dLbl>
              <c:idx val="8"/>
              <c:delete val="1"/>
            </c:dLbl>
            <c:spPr>
              <a:solidFill>
                <a:schemeClr val="bg1"/>
              </a:solidFill>
            </c:spPr>
            <c:txPr>
              <a:bodyPr/>
              <a:lstStyle/>
              <a:p>
                <a:pPr>
                  <a:defRPr b="1"/>
                </a:pPr>
                <a:endParaRPr lang="en-US"/>
              </a:p>
            </c:txPr>
            <c:showLegendKey val="0"/>
            <c:showVal val="1"/>
            <c:showCatName val="0"/>
            <c:showSerName val="0"/>
            <c:showPercent val="0"/>
            <c:showBubbleSize val="0"/>
            <c:showLeaderLines val="0"/>
          </c:dLbls>
          <c:cat>
            <c:strRef>
              <c:f>'Graphs with Data'!$E$168:$N$168</c:f>
              <c:strCache>
                <c:ptCount val="10"/>
                <c:pt idx="0">
                  <c:v>Fall 2009 Cohort</c:v>
                </c:pt>
                <c:pt idx="1">
                  <c:v>Winter 2010 Cohort</c:v>
                </c:pt>
                <c:pt idx="2">
                  <c:v>Spring 2010 Cohort</c:v>
                </c:pt>
                <c:pt idx="3">
                  <c:v>Fall 2010 Cohort</c:v>
                </c:pt>
                <c:pt idx="4">
                  <c:v>Winter 2011 Cohort</c:v>
                </c:pt>
                <c:pt idx="5">
                  <c:v>Spring 2011 Cohort</c:v>
                </c:pt>
                <c:pt idx="6">
                  <c:v>Fall 2011 Cohort</c:v>
                </c:pt>
                <c:pt idx="7">
                  <c:v>Winter 2012 Cohort</c:v>
                </c:pt>
                <c:pt idx="8">
                  <c:v>Spring 2012 Cohort</c:v>
                </c:pt>
                <c:pt idx="9">
                  <c:v>Fall 2012 Cohort</c:v>
                </c:pt>
              </c:strCache>
            </c:strRef>
          </c:cat>
          <c:val>
            <c:numRef>
              <c:f>'Graphs with Data'!$E$169:$N$169</c:f>
              <c:numCache>
                <c:formatCode>0%</c:formatCode>
                <c:ptCount val="10"/>
                <c:pt idx="0">
                  <c:v>0.66</c:v>
                </c:pt>
                <c:pt idx="1">
                  <c:v>0.49</c:v>
                </c:pt>
                <c:pt idx="2">
                  <c:v>0</c:v>
                </c:pt>
                <c:pt idx="3">
                  <c:v>0.92</c:v>
                </c:pt>
                <c:pt idx="4">
                  <c:v>0.97</c:v>
                </c:pt>
                <c:pt idx="5">
                  <c:v>0</c:v>
                </c:pt>
                <c:pt idx="6">
                  <c:v>0.52</c:v>
                </c:pt>
                <c:pt idx="7">
                  <c:v>0.46</c:v>
                </c:pt>
                <c:pt idx="8">
                  <c:v>0</c:v>
                </c:pt>
                <c:pt idx="9">
                  <c:v>0.91</c:v>
                </c:pt>
              </c:numCache>
            </c:numRef>
          </c:val>
        </c:ser>
        <c:ser>
          <c:idx val="2"/>
          <c:order val="1"/>
          <c:tx>
            <c:strRef>
              <c:f>'Graphs with Data'!$A$170</c:f>
              <c:strCache>
                <c:ptCount val="1"/>
                <c:pt idx="0">
                  <c:v>Graduation Rate</c:v>
                </c:pt>
              </c:strCache>
            </c:strRef>
          </c:tx>
          <c:invertIfNegative val="0"/>
          <c:dLbls>
            <c:dLbl>
              <c:idx val="2"/>
              <c:delete val="1"/>
            </c:dLbl>
            <c:dLbl>
              <c:idx val="3"/>
              <c:layout>
                <c:manualLayout>
                  <c:x val="9.2137587681248058E-3"/>
                  <c:y val="0"/>
                </c:manualLayout>
              </c:layout>
              <c:showLegendKey val="0"/>
              <c:showVal val="1"/>
              <c:showCatName val="0"/>
              <c:showSerName val="0"/>
              <c:showPercent val="0"/>
              <c:showBubbleSize val="0"/>
            </c:dLbl>
            <c:dLbl>
              <c:idx val="4"/>
              <c:layout>
                <c:manualLayout>
                  <c:x val="9.2140422003132768E-3"/>
                  <c:y val="0"/>
                </c:manualLayout>
              </c:layout>
              <c:showLegendKey val="0"/>
              <c:showVal val="1"/>
              <c:showCatName val="0"/>
              <c:showSerName val="0"/>
              <c:showPercent val="0"/>
              <c:showBubbleSize val="0"/>
            </c:dLbl>
            <c:dLbl>
              <c:idx val="5"/>
              <c:delete val="1"/>
            </c:dLbl>
            <c:dLbl>
              <c:idx val="7"/>
              <c:layout>
                <c:manualLayout>
                  <c:x val="5.5282552608748835E-3"/>
                  <c:y val="0"/>
                </c:manualLayout>
              </c:layout>
              <c:showLegendKey val="0"/>
              <c:showVal val="1"/>
              <c:showCatName val="0"/>
              <c:showSerName val="0"/>
              <c:showPercent val="0"/>
              <c:showBubbleSize val="0"/>
            </c:dLbl>
            <c:dLbl>
              <c:idx val="8"/>
              <c:delete val="1"/>
            </c:dLbl>
            <c:dLbl>
              <c:idx val="9"/>
              <c:layout>
                <c:manualLayout>
                  <c:x val="9.2137587681248058E-3"/>
                  <c:y val="0"/>
                </c:manualLayout>
              </c:layout>
              <c:showLegendKey val="0"/>
              <c:showVal val="1"/>
              <c:showCatName val="0"/>
              <c:showSerName val="0"/>
              <c:showPercent val="0"/>
              <c:showBubbleSize val="0"/>
            </c:dLbl>
            <c:spPr>
              <a:solidFill>
                <a:schemeClr val="bg1"/>
              </a:solidFill>
            </c:spPr>
            <c:txPr>
              <a:bodyPr/>
              <a:lstStyle/>
              <a:p>
                <a:pPr>
                  <a:defRPr b="1"/>
                </a:pPr>
                <a:endParaRPr lang="en-US"/>
              </a:p>
            </c:txPr>
            <c:showLegendKey val="0"/>
            <c:showVal val="1"/>
            <c:showCatName val="0"/>
            <c:showSerName val="0"/>
            <c:showPercent val="0"/>
            <c:showBubbleSize val="0"/>
            <c:showLeaderLines val="0"/>
          </c:dLbls>
          <c:cat>
            <c:strRef>
              <c:f>'Graphs with Data'!$E$168:$N$168</c:f>
              <c:strCache>
                <c:ptCount val="10"/>
                <c:pt idx="0">
                  <c:v>Fall 2009 Cohort</c:v>
                </c:pt>
                <c:pt idx="1">
                  <c:v>Winter 2010 Cohort</c:v>
                </c:pt>
                <c:pt idx="2">
                  <c:v>Spring 2010 Cohort</c:v>
                </c:pt>
                <c:pt idx="3">
                  <c:v>Fall 2010 Cohort</c:v>
                </c:pt>
                <c:pt idx="4">
                  <c:v>Winter 2011 Cohort</c:v>
                </c:pt>
                <c:pt idx="5">
                  <c:v>Spring 2011 Cohort</c:v>
                </c:pt>
                <c:pt idx="6">
                  <c:v>Fall 2011 Cohort</c:v>
                </c:pt>
                <c:pt idx="7">
                  <c:v>Winter 2012 Cohort</c:v>
                </c:pt>
                <c:pt idx="8">
                  <c:v>Spring 2012 Cohort</c:v>
                </c:pt>
                <c:pt idx="9">
                  <c:v>Fall 2012 Cohort</c:v>
                </c:pt>
              </c:strCache>
            </c:strRef>
          </c:cat>
          <c:val>
            <c:numRef>
              <c:f>'Graphs with Data'!$E$170:$N$170</c:f>
              <c:numCache>
                <c:formatCode>0%</c:formatCode>
                <c:ptCount val="10"/>
                <c:pt idx="0">
                  <c:v>0.74</c:v>
                </c:pt>
                <c:pt idx="1">
                  <c:v>0.62</c:v>
                </c:pt>
                <c:pt idx="2">
                  <c:v>0</c:v>
                </c:pt>
                <c:pt idx="3">
                  <c:v>0.7</c:v>
                </c:pt>
                <c:pt idx="4">
                  <c:v>0.74</c:v>
                </c:pt>
                <c:pt idx="5">
                  <c:v>0</c:v>
                </c:pt>
                <c:pt idx="6">
                  <c:v>0.61</c:v>
                </c:pt>
                <c:pt idx="7">
                  <c:v>0.48</c:v>
                </c:pt>
                <c:pt idx="8">
                  <c:v>0</c:v>
                </c:pt>
                <c:pt idx="9">
                  <c:v>0.48</c:v>
                </c:pt>
              </c:numCache>
            </c:numRef>
          </c:val>
        </c:ser>
        <c:dLbls>
          <c:showLegendKey val="0"/>
          <c:showVal val="0"/>
          <c:showCatName val="0"/>
          <c:showSerName val="0"/>
          <c:showPercent val="0"/>
          <c:showBubbleSize val="0"/>
        </c:dLbls>
        <c:gapWidth val="75"/>
        <c:axId val="78097024"/>
        <c:axId val="78111104"/>
      </c:barChart>
      <c:catAx>
        <c:axId val="78097024"/>
        <c:scaling>
          <c:orientation val="minMax"/>
        </c:scaling>
        <c:delete val="0"/>
        <c:axPos val="b"/>
        <c:majorTickMark val="none"/>
        <c:minorTickMark val="none"/>
        <c:tickLblPos val="nextTo"/>
        <c:txPr>
          <a:bodyPr/>
          <a:lstStyle/>
          <a:p>
            <a:pPr>
              <a:defRPr sz="900" b="0"/>
            </a:pPr>
            <a:endParaRPr lang="en-US"/>
          </a:p>
        </c:txPr>
        <c:crossAx val="78111104"/>
        <c:crosses val="autoZero"/>
        <c:auto val="1"/>
        <c:lblAlgn val="ctr"/>
        <c:lblOffset val="100"/>
        <c:noMultiLvlLbl val="0"/>
      </c:catAx>
      <c:valAx>
        <c:axId val="78111104"/>
        <c:scaling>
          <c:orientation val="minMax"/>
          <c:max val="1"/>
        </c:scaling>
        <c:delete val="0"/>
        <c:axPos val="l"/>
        <c:majorGridlines/>
        <c:numFmt formatCode="0%" sourceLinked="1"/>
        <c:majorTickMark val="none"/>
        <c:minorTickMark val="none"/>
        <c:tickLblPos val="nextTo"/>
        <c:crossAx val="78097024"/>
        <c:crosses val="autoZero"/>
        <c:crossBetween val="between"/>
      </c:valAx>
    </c:plotArea>
    <c:legend>
      <c:legendPos val="b"/>
      <c:layout/>
      <c:overlay val="0"/>
      <c:txPr>
        <a:bodyPr/>
        <a:lstStyle/>
        <a:p>
          <a:pPr>
            <a:defRPr sz="1000" b="1"/>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7.4020532589676294E-2"/>
          <c:y val="6.4501722440944875E-2"/>
          <c:w val="0.90688224518810145"/>
          <c:h val="0.67047367125984247"/>
        </c:manualLayout>
      </c:layout>
      <c:barChart>
        <c:barDir val="col"/>
        <c:grouping val="clustered"/>
        <c:varyColors val="0"/>
        <c:ser>
          <c:idx val="0"/>
          <c:order val="0"/>
          <c:tx>
            <c:strRef>
              <c:f>'Graphs with Data'!$A$195</c:f>
              <c:strCache>
                <c:ptCount val="1"/>
                <c:pt idx="0">
                  <c:v>1st to 3rd Semester Retention Rate</c:v>
                </c:pt>
              </c:strCache>
            </c:strRef>
          </c:tx>
          <c:invertIfNegative val="0"/>
          <c:dLbls>
            <c:spPr>
              <a:solidFill>
                <a:sysClr val="window" lastClr="FFFFFF"/>
              </a:solidFill>
            </c:spPr>
            <c:txPr>
              <a:bodyPr/>
              <a:lstStyle/>
              <a:p>
                <a:pPr>
                  <a:defRPr b="1"/>
                </a:pPr>
                <a:endParaRPr lang="en-US"/>
              </a:p>
            </c:txPr>
            <c:showLegendKey val="0"/>
            <c:showVal val="1"/>
            <c:showCatName val="0"/>
            <c:showSerName val="0"/>
            <c:showPercent val="0"/>
            <c:showBubbleSize val="0"/>
            <c:showLeaderLines val="0"/>
          </c:dLbls>
          <c:cat>
            <c:strRef>
              <c:f>'Graphs with Data'!$E$194:$N$194</c:f>
              <c:strCache>
                <c:ptCount val="10"/>
                <c:pt idx="0">
                  <c:v>Fall 2009 Cohort</c:v>
                </c:pt>
                <c:pt idx="1">
                  <c:v>Winter 2010 Cohort</c:v>
                </c:pt>
                <c:pt idx="2">
                  <c:v>Spring 2010 Cohort</c:v>
                </c:pt>
                <c:pt idx="3">
                  <c:v>Fall 2010 Cohort</c:v>
                </c:pt>
                <c:pt idx="4">
                  <c:v>Winter 2011 Cohort</c:v>
                </c:pt>
                <c:pt idx="5">
                  <c:v>Spring 2011 Cohort</c:v>
                </c:pt>
                <c:pt idx="6">
                  <c:v>Fall 2011 Cohort</c:v>
                </c:pt>
                <c:pt idx="7">
                  <c:v>Winter 2012 Cohort</c:v>
                </c:pt>
                <c:pt idx="8">
                  <c:v>Spring 2012 Cohort</c:v>
                </c:pt>
                <c:pt idx="9">
                  <c:v>Fall 2012 Cohort</c:v>
                </c:pt>
              </c:strCache>
            </c:strRef>
          </c:cat>
          <c:val>
            <c:numRef>
              <c:f>'Graphs with Data'!$E$195:$N$195</c:f>
              <c:numCache>
                <c:formatCode>0%</c:formatCode>
                <c:ptCount val="10"/>
                <c:pt idx="0">
                  <c:v>1</c:v>
                </c:pt>
                <c:pt idx="1">
                  <c:v>0.85</c:v>
                </c:pt>
                <c:pt idx="2">
                  <c:v>0.95238095238095233</c:v>
                </c:pt>
                <c:pt idx="3">
                  <c:v>0.98</c:v>
                </c:pt>
                <c:pt idx="4">
                  <c:v>0.79</c:v>
                </c:pt>
                <c:pt idx="5">
                  <c:v>0.89</c:v>
                </c:pt>
                <c:pt idx="6">
                  <c:v>0.85</c:v>
                </c:pt>
                <c:pt idx="7">
                  <c:v>0.61</c:v>
                </c:pt>
                <c:pt idx="8">
                  <c:v>0.93</c:v>
                </c:pt>
                <c:pt idx="9">
                  <c:v>0.88</c:v>
                </c:pt>
              </c:numCache>
            </c:numRef>
          </c:val>
        </c:ser>
        <c:ser>
          <c:idx val="2"/>
          <c:order val="1"/>
          <c:tx>
            <c:strRef>
              <c:f>'Graphs with Data'!$A$196</c:f>
              <c:strCache>
                <c:ptCount val="1"/>
                <c:pt idx="0">
                  <c:v>Graduation Rate</c:v>
                </c:pt>
              </c:strCache>
            </c:strRef>
          </c:tx>
          <c:invertIfNegative val="0"/>
          <c:dLbls>
            <c:dLbl>
              <c:idx val="0"/>
              <c:layout>
                <c:manualLayout>
                  <c:x val="7.3260073260073095E-3"/>
                  <c:y val="0"/>
                </c:manualLayout>
              </c:layout>
              <c:showLegendKey val="0"/>
              <c:showVal val="1"/>
              <c:showCatName val="0"/>
              <c:showSerName val="0"/>
              <c:showPercent val="0"/>
              <c:showBubbleSize val="0"/>
            </c:dLbl>
            <c:dLbl>
              <c:idx val="1"/>
              <c:layout>
                <c:manualLayout>
                  <c:x val="9.1575091575091579E-3"/>
                  <c:y val="0"/>
                </c:manualLayout>
              </c:layout>
              <c:showLegendKey val="0"/>
              <c:showVal val="1"/>
              <c:showCatName val="0"/>
              <c:showSerName val="0"/>
              <c:showPercent val="0"/>
              <c:showBubbleSize val="0"/>
            </c:dLbl>
            <c:dLbl>
              <c:idx val="2"/>
              <c:layout>
                <c:manualLayout>
                  <c:x val="1.098901098901099E-2"/>
                  <c:y val="0"/>
                </c:manualLayout>
              </c:layout>
              <c:showLegendKey val="0"/>
              <c:showVal val="1"/>
              <c:showCatName val="0"/>
              <c:showSerName val="0"/>
              <c:showPercent val="0"/>
              <c:showBubbleSize val="0"/>
            </c:dLbl>
            <c:dLbl>
              <c:idx val="3"/>
              <c:layout>
                <c:manualLayout>
                  <c:x val="1.282051282051282E-2"/>
                  <c:y val="-2.3871252015037487E-17"/>
                </c:manualLayout>
              </c:layout>
              <c:showLegendKey val="0"/>
              <c:showVal val="1"/>
              <c:showCatName val="0"/>
              <c:showSerName val="0"/>
              <c:showPercent val="0"/>
              <c:showBubbleSize val="0"/>
            </c:dLbl>
            <c:spPr>
              <a:solidFill>
                <a:sysClr val="window" lastClr="FFFFFF"/>
              </a:solidFill>
            </c:spPr>
            <c:txPr>
              <a:bodyPr/>
              <a:lstStyle/>
              <a:p>
                <a:pPr>
                  <a:defRPr b="1"/>
                </a:pPr>
                <a:endParaRPr lang="en-US"/>
              </a:p>
            </c:txPr>
            <c:showLegendKey val="0"/>
            <c:showVal val="1"/>
            <c:showCatName val="0"/>
            <c:showSerName val="0"/>
            <c:showPercent val="0"/>
            <c:showBubbleSize val="0"/>
            <c:showLeaderLines val="0"/>
          </c:dLbls>
          <c:cat>
            <c:strRef>
              <c:f>'Graphs with Data'!$E$194:$N$194</c:f>
              <c:strCache>
                <c:ptCount val="10"/>
                <c:pt idx="0">
                  <c:v>Fall 2009 Cohort</c:v>
                </c:pt>
                <c:pt idx="1">
                  <c:v>Winter 2010 Cohort</c:v>
                </c:pt>
                <c:pt idx="2">
                  <c:v>Spring 2010 Cohort</c:v>
                </c:pt>
                <c:pt idx="3">
                  <c:v>Fall 2010 Cohort</c:v>
                </c:pt>
                <c:pt idx="4">
                  <c:v>Winter 2011 Cohort</c:v>
                </c:pt>
                <c:pt idx="5">
                  <c:v>Spring 2011 Cohort</c:v>
                </c:pt>
                <c:pt idx="6">
                  <c:v>Fall 2011 Cohort</c:v>
                </c:pt>
                <c:pt idx="7">
                  <c:v>Winter 2012 Cohort</c:v>
                </c:pt>
                <c:pt idx="8">
                  <c:v>Spring 2012 Cohort</c:v>
                </c:pt>
                <c:pt idx="9">
                  <c:v>Fall 2012 Cohort</c:v>
                </c:pt>
              </c:strCache>
            </c:strRef>
          </c:cat>
          <c:val>
            <c:numRef>
              <c:f>'Graphs with Data'!$E$196:$J$196</c:f>
              <c:numCache>
                <c:formatCode>0%</c:formatCode>
                <c:ptCount val="6"/>
                <c:pt idx="0">
                  <c:v>0.83</c:v>
                </c:pt>
                <c:pt idx="1">
                  <c:v>0.71</c:v>
                </c:pt>
                <c:pt idx="2">
                  <c:v>0.76</c:v>
                </c:pt>
                <c:pt idx="3">
                  <c:v>0.67</c:v>
                </c:pt>
              </c:numCache>
            </c:numRef>
          </c:val>
        </c:ser>
        <c:dLbls>
          <c:showLegendKey val="0"/>
          <c:showVal val="0"/>
          <c:showCatName val="0"/>
          <c:showSerName val="0"/>
          <c:showPercent val="0"/>
          <c:showBubbleSize val="0"/>
        </c:dLbls>
        <c:gapWidth val="75"/>
        <c:axId val="96675328"/>
        <c:axId val="96676864"/>
      </c:barChart>
      <c:catAx>
        <c:axId val="96675328"/>
        <c:scaling>
          <c:orientation val="minMax"/>
        </c:scaling>
        <c:delete val="0"/>
        <c:axPos val="b"/>
        <c:majorTickMark val="none"/>
        <c:minorTickMark val="none"/>
        <c:tickLblPos val="nextTo"/>
        <c:txPr>
          <a:bodyPr/>
          <a:lstStyle/>
          <a:p>
            <a:pPr>
              <a:defRPr sz="900" b="0"/>
            </a:pPr>
            <a:endParaRPr lang="en-US"/>
          </a:p>
        </c:txPr>
        <c:crossAx val="96676864"/>
        <c:crosses val="autoZero"/>
        <c:auto val="1"/>
        <c:lblAlgn val="ctr"/>
        <c:lblOffset val="100"/>
        <c:noMultiLvlLbl val="0"/>
      </c:catAx>
      <c:valAx>
        <c:axId val="96676864"/>
        <c:scaling>
          <c:orientation val="minMax"/>
          <c:max val="1"/>
        </c:scaling>
        <c:delete val="0"/>
        <c:axPos val="l"/>
        <c:majorGridlines/>
        <c:numFmt formatCode="0%" sourceLinked="1"/>
        <c:majorTickMark val="none"/>
        <c:minorTickMark val="none"/>
        <c:tickLblPos val="nextTo"/>
        <c:crossAx val="96675328"/>
        <c:crosses val="autoZero"/>
        <c:crossBetween val="between"/>
      </c:valAx>
    </c:plotArea>
    <c:legend>
      <c:legendPos val="b"/>
      <c:overlay val="0"/>
      <c:txPr>
        <a:bodyPr/>
        <a:lstStyle/>
        <a:p>
          <a:pPr>
            <a:defRPr sz="1000" b="1"/>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'GR Disaggregated'!$A$7</c:f>
              <c:strCache>
                <c:ptCount val="1"/>
                <c:pt idx="0">
                  <c:v>1st to 3rd Semester Retention</c:v>
                </c:pt>
              </c:strCache>
            </c:strRef>
          </c:tx>
          <c:invertIfNegative val="0"/>
          <c:dLbls>
            <c:dLbl>
              <c:idx val="0"/>
              <c:layout>
                <c:manualLayout>
                  <c:x val="1.8472907299605682E-3"/>
                  <c:y val="3.0612244897959183E-2"/>
                </c:manualLayout>
              </c:layout>
              <c:showLegendKey val="0"/>
              <c:showVal val="1"/>
              <c:showCatName val="0"/>
              <c:showSerName val="0"/>
              <c:showPercent val="0"/>
              <c:showBubbleSize val="0"/>
            </c:dLbl>
            <c:dLbl>
              <c:idx val="6"/>
              <c:layout>
                <c:manualLayout>
                  <c:x val="0"/>
                  <c:y val="1.5306122448979591E-2"/>
                </c:manualLayout>
              </c:layout>
              <c:showLegendKey val="0"/>
              <c:showVal val="1"/>
              <c:showCatName val="0"/>
              <c:showSerName val="0"/>
              <c:showPercent val="0"/>
              <c:showBubbleSize val="0"/>
            </c:dLbl>
            <c:dLbl>
              <c:idx val="8"/>
              <c:layout>
                <c:manualLayout>
                  <c:x val="1.8472907299605682E-3"/>
                  <c:y val="3.0612244897959183E-2"/>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'GR Disaggregated'!$B$3:$J$3</c:f>
              <c:strCache>
                <c:ptCount val="9"/>
                <c:pt idx="0">
                  <c:v>Fall 08 Cohort</c:v>
                </c:pt>
                <c:pt idx="1">
                  <c:v>Spring 09 Cohort</c:v>
                </c:pt>
                <c:pt idx="2">
                  <c:v>Fall 09 Cohort</c:v>
                </c:pt>
                <c:pt idx="3">
                  <c:v>Spring 10 Cohort</c:v>
                </c:pt>
                <c:pt idx="4">
                  <c:v>Fall 10 Cohort</c:v>
                </c:pt>
                <c:pt idx="5">
                  <c:v>Spring 11 Cohort</c:v>
                </c:pt>
                <c:pt idx="6">
                  <c:v>Fall 11 Cohort</c:v>
                </c:pt>
                <c:pt idx="7">
                  <c:v>Spring 12 Cohort</c:v>
                </c:pt>
                <c:pt idx="8">
                  <c:v>Fall 12 Cohort</c:v>
                </c:pt>
              </c:strCache>
            </c:strRef>
          </c:cat>
          <c:val>
            <c:numRef>
              <c:f>'GR Disaggregated'!$B$7:$J$7</c:f>
              <c:numCache>
                <c:formatCode>0%</c:formatCode>
                <c:ptCount val="9"/>
                <c:pt idx="0">
                  <c:v>0.83653846153846156</c:v>
                </c:pt>
                <c:pt idx="1">
                  <c:v>0.86285714285714288</c:v>
                </c:pt>
                <c:pt idx="2">
                  <c:v>0.81273408239700373</c:v>
                </c:pt>
                <c:pt idx="3">
                  <c:v>0.85074626865671643</c:v>
                </c:pt>
                <c:pt idx="4">
                  <c:v>0.8529411764705882</c:v>
                </c:pt>
                <c:pt idx="5">
                  <c:v>0.86708860759493667</c:v>
                </c:pt>
                <c:pt idx="6">
                  <c:v>0.90714285714285714</c:v>
                </c:pt>
                <c:pt idx="7">
                  <c:v>0.84579439252336452</c:v>
                </c:pt>
                <c:pt idx="8">
                  <c:v>0.82698961937716264</c:v>
                </c:pt>
              </c:numCache>
            </c:numRef>
          </c:val>
        </c:ser>
        <c:ser>
          <c:idx val="1"/>
          <c:order val="1"/>
          <c:tx>
            <c:strRef>
              <c:f>'GR Disaggregated'!$A$12</c:f>
              <c:strCache>
                <c:ptCount val="1"/>
                <c:pt idx="0">
                  <c:v>Percent Graduated </c:v>
                </c:pt>
              </c:strCache>
            </c:strRef>
          </c:tx>
          <c:spPr>
            <a:solidFill>
              <a:schemeClr val="accent3">
                <a:lumMod val="75000"/>
              </a:schemeClr>
            </a:solidFill>
          </c:spPr>
          <c:invertIfNegative val="0"/>
          <c:dLbls>
            <c:dLbl>
              <c:idx val="0"/>
              <c:layout>
                <c:manualLayout>
                  <c:x val="3.6945814599211365E-3"/>
                  <c:y val="2.5510204081632654E-2"/>
                </c:manualLayout>
              </c:layout>
              <c:showLegendKey val="0"/>
              <c:showVal val="1"/>
              <c:showCatName val="0"/>
              <c:showSerName val="0"/>
              <c:showPercent val="0"/>
              <c:showBubbleSize val="0"/>
            </c:dLbl>
            <c:dLbl>
              <c:idx val="1"/>
              <c:layout>
                <c:manualLayout>
                  <c:x val="3.6945814599211365E-3"/>
                  <c:y val="2.5510204081632654E-2"/>
                </c:manualLayout>
              </c:layout>
              <c:showLegendKey val="0"/>
              <c:showVal val="1"/>
              <c:showCatName val="0"/>
              <c:showSerName val="0"/>
              <c:showPercent val="0"/>
              <c:showBubbleSize val="0"/>
            </c:dLbl>
            <c:dLbl>
              <c:idx val="5"/>
              <c:layout>
                <c:manualLayout>
                  <c:x val="3.6945814599211365E-3"/>
                  <c:y val="2.5510204081632654E-2"/>
                </c:manualLayout>
              </c:layout>
              <c:showLegendKey val="0"/>
              <c:showVal val="1"/>
              <c:showCatName val="0"/>
              <c:showSerName val="0"/>
              <c:showPercent val="0"/>
              <c:showBubbleSize val="0"/>
            </c:dLbl>
            <c:txPr>
              <a:bodyPr/>
              <a:lstStyle/>
              <a:p>
                <a:pPr>
                  <a:defRPr b="1"/>
                </a:pPr>
                <a:endParaRPr lang="en-US"/>
              </a:p>
            </c:txPr>
            <c:showLegendKey val="0"/>
            <c:showVal val="1"/>
            <c:showCatName val="0"/>
            <c:showSerName val="0"/>
            <c:showPercent val="0"/>
            <c:showBubbleSize val="0"/>
            <c:showLeaderLines val="0"/>
          </c:dLbls>
          <c:cat>
            <c:strRef>
              <c:f>'GR Disaggregated'!$B$3:$J$3</c:f>
              <c:strCache>
                <c:ptCount val="9"/>
                <c:pt idx="0">
                  <c:v>Fall 08 Cohort</c:v>
                </c:pt>
                <c:pt idx="1">
                  <c:v>Spring 09 Cohort</c:v>
                </c:pt>
                <c:pt idx="2">
                  <c:v>Fall 09 Cohort</c:v>
                </c:pt>
                <c:pt idx="3">
                  <c:v>Spring 10 Cohort</c:v>
                </c:pt>
                <c:pt idx="4">
                  <c:v>Fall 10 Cohort</c:v>
                </c:pt>
                <c:pt idx="5">
                  <c:v>Spring 11 Cohort</c:v>
                </c:pt>
                <c:pt idx="6">
                  <c:v>Fall 11 Cohort</c:v>
                </c:pt>
                <c:pt idx="7">
                  <c:v>Spring 12 Cohort</c:v>
                </c:pt>
                <c:pt idx="8">
                  <c:v>Fall 12 Cohort</c:v>
                </c:pt>
              </c:strCache>
            </c:strRef>
          </c:cat>
          <c:val>
            <c:numRef>
              <c:f>'GR Disaggregated'!$B$12:$G$12</c:f>
              <c:numCache>
                <c:formatCode>0%</c:formatCode>
                <c:ptCount val="6"/>
                <c:pt idx="0">
                  <c:v>0.79807692307692313</c:v>
                </c:pt>
                <c:pt idx="1">
                  <c:v>0.81142857142857139</c:v>
                </c:pt>
                <c:pt idx="2">
                  <c:v>0.73782771535580527</c:v>
                </c:pt>
                <c:pt idx="3">
                  <c:v>0.67910447761194026</c:v>
                </c:pt>
                <c:pt idx="4">
                  <c:v>0.67941176470588238</c:v>
                </c:pt>
                <c:pt idx="5">
                  <c:v>0.810126582278481</c:v>
                </c:pt>
              </c:numCache>
            </c:numRef>
          </c:val>
        </c:ser>
        <c:dLbls>
          <c:showLegendKey val="0"/>
          <c:showVal val="0"/>
          <c:showCatName val="0"/>
          <c:showSerName val="0"/>
          <c:showPercent val="0"/>
          <c:showBubbleSize val="0"/>
        </c:dLbls>
        <c:gapWidth val="75"/>
        <c:axId val="96702464"/>
        <c:axId val="96704000"/>
      </c:barChart>
      <c:catAx>
        <c:axId val="96702464"/>
        <c:scaling>
          <c:orientation val="minMax"/>
        </c:scaling>
        <c:delete val="0"/>
        <c:axPos val="b"/>
        <c:majorTickMark val="none"/>
        <c:minorTickMark val="none"/>
        <c:tickLblPos val="nextTo"/>
        <c:txPr>
          <a:bodyPr/>
          <a:lstStyle/>
          <a:p>
            <a:pPr>
              <a:defRPr sz="900"/>
            </a:pPr>
            <a:endParaRPr lang="en-US"/>
          </a:p>
        </c:txPr>
        <c:crossAx val="96704000"/>
        <c:crosses val="autoZero"/>
        <c:auto val="1"/>
        <c:lblAlgn val="ctr"/>
        <c:lblOffset val="100"/>
        <c:noMultiLvlLbl val="0"/>
      </c:catAx>
      <c:valAx>
        <c:axId val="96704000"/>
        <c:scaling>
          <c:orientation val="minMax"/>
        </c:scaling>
        <c:delete val="0"/>
        <c:axPos val="l"/>
        <c:majorGridlines/>
        <c:numFmt formatCode="0%" sourceLinked="1"/>
        <c:majorTickMark val="none"/>
        <c:minorTickMark val="none"/>
        <c:tickLblPos val="nextTo"/>
        <c:crossAx val="96702464"/>
        <c:crosses val="autoZero"/>
        <c:crossBetween val="between"/>
      </c:valAx>
    </c:plotArea>
    <c:legend>
      <c:legendPos val="b"/>
      <c:overlay val="0"/>
      <c:txPr>
        <a:bodyPr/>
        <a:lstStyle/>
        <a:p>
          <a:pPr>
            <a:defRPr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F49F2-8440-411F-9FA7-C90195ACC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Redlands</Company>
  <LinksUpToDate>false</LinksUpToDate>
  <CharactersWithSpaces>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UOR User</dc:creator>
  <cp:lastModifiedBy>Wendy McEwen</cp:lastModifiedBy>
  <cp:revision>2</cp:revision>
  <cp:lastPrinted>2014-01-23T17:54:00Z</cp:lastPrinted>
  <dcterms:created xsi:type="dcterms:W3CDTF">2014-06-04T23:43:00Z</dcterms:created>
  <dcterms:modified xsi:type="dcterms:W3CDTF">2014-06-04T23:43:00Z</dcterms:modified>
</cp:coreProperties>
</file>