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62" w:rsidRDefault="00460362" w:rsidP="009D788C">
      <w:pPr>
        <w:spacing w:before="120" w:after="120" w:line="240" w:lineRule="auto"/>
        <w:jc w:val="center"/>
        <w:rPr>
          <w:rFonts w:ascii="Arial" w:hAnsi="Arial" w:cs="Arial"/>
          <w:b/>
          <w:sz w:val="28"/>
        </w:rPr>
      </w:pPr>
      <w:bookmarkStart w:id="0" w:name="_GoBack"/>
      <w:bookmarkEnd w:id="0"/>
    </w:p>
    <w:p w:rsidR="00665575" w:rsidRPr="009E6269" w:rsidRDefault="005D524D" w:rsidP="009D788C">
      <w:pPr>
        <w:spacing w:before="120" w:after="120" w:line="240" w:lineRule="auto"/>
        <w:jc w:val="center"/>
        <w:rPr>
          <w:rFonts w:ascii="Arial" w:hAnsi="Arial" w:cs="Arial"/>
          <w:b/>
          <w:sz w:val="28"/>
        </w:rPr>
      </w:pPr>
      <w:r>
        <w:rPr>
          <w:rFonts w:ascii="Arial" w:hAnsi="Arial" w:cs="Arial"/>
          <w:b/>
          <w:sz w:val="28"/>
        </w:rPr>
        <w:t>School of Business</w:t>
      </w:r>
      <w:r w:rsidR="008D6383">
        <w:rPr>
          <w:rFonts w:ascii="Arial" w:hAnsi="Arial" w:cs="Arial"/>
          <w:b/>
          <w:sz w:val="28"/>
        </w:rPr>
        <w:t xml:space="preserve"> </w:t>
      </w:r>
      <w:r>
        <w:rPr>
          <w:rFonts w:ascii="Arial" w:hAnsi="Arial" w:cs="Arial"/>
          <w:b/>
          <w:sz w:val="28"/>
        </w:rPr>
        <w:t>Retention and Graduation rates</w:t>
      </w:r>
    </w:p>
    <w:p w:rsidR="009D788C" w:rsidRPr="00556450" w:rsidRDefault="009D788C" w:rsidP="009D788C">
      <w:pPr>
        <w:spacing w:before="120" w:after="0" w:line="240" w:lineRule="auto"/>
        <w:jc w:val="center"/>
        <w:rPr>
          <w:rFonts w:ascii="Arial" w:hAnsi="Arial" w:cs="Arial"/>
          <w:sz w:val="20"/>
        </w:rPr>
      </w:pPr>
      <w:r w:rsidRPr="00556450">
        <w:rPr>
          <w:rFonts w:ascii="Arial" w:hAnsi="Arial" w:cs="Arial"/>
          <w:sz w:val="20"/>
        </w:rPr>
        <w:t>Wendy McEwen</w:t>
      </w:r>
      <w:r w:rsidR="0035798C" w:rsidRPr="00556450">
        <w:rPr>
          <w:rFonts w:ascii="Arial" w:hAnsi="Arial" w:cs="Arial"/>
          <w:sz w:val="20"/>
        </w:rPr>
        <w:t xml:space="preserve">, </w:t>
      </w:r>
      <w:r w:rsidR="00A205C2">
        <w:rPr>
          <w:rFonts w:ascii="Arial" w:hAnsi="Arial" w:cs="Arial"/>
          <w:sz w:val="20"/>
        </w:rPr>
        <w:t>Assistant Provost for Institutional Research</w:t>
      </w:r>
    </w:p>
    <w:p w:rsidR="009D788C" w:rsidRPr="00556450" w:rsidRDefault="00A205C2" w:rsidP="009D788C">
      <w:pPr>
        <w:spacing w:before="120" w:after="0" w:line="240" w:lineRule="auto"/>
        <w:jc w:val="center"/>
        <w:rPr>
          <w:rFonts w:ascii="Arial" w:hAnsi="Arial" w:cs="Arial"/>
          <w:sz w:val="20"/>
        </w:rPr>
      </w:pPr>
      <w:r>
        <w:rPr>
          <w:rFonts w:ascii="Arial" w:hAnsi="Arial" w:cs="Arial"/>
          <w:sz w:val="20"/>
        </w:rPr>
        <w:t xml:space="preserve">January </w:t>
      </w:r>
      <w:r w:rsidR="0024789D">
        <w:rPr>
          <w:rFonts w:ascii="Arial" w:hAnsi="Arial" w:cs="Arial"/>
          <w:sz w:val="20"/>
        </w:rPr>
        <w:t>2</w:t>
      </w:r>
      <w:r w:rsidR="009E3350">
        <w:rPr>
          <w:rFonts w:ascii="Arial" w:hAnsi="Arial" w:cs="Arial"/>
          <w:sz w:val="20"/>
        </w:rPr>
        <w:t>4</w:t>
      </w:r>
      <w:r w:rsidR="009E3350" w:rsidRPr="009E3350">
        <w:rPr>
          <w:rFonts w:ascii="Arial" w:hAnsi="Arial" w:cs="Arial"/>
          <w:sz w:val="20"/>
          <w:vertAlign w:val="superscript"/>
        </w:rPr>
        <w:t>th</w:t>
      </w:r>
      <w:r>
        <w:rPr>
          <w:rFonts w:ascii="Arial" w:hAnsi="Arial" w:cs="Arial"/>
          <w:sz w:val="20"/>
        </w:rPr>
        <w:t>, 2014</w:t>
      </w:r>
    </w:p>
    <w:p w:rsidR="005D524D" w:rsidRPr="00556450" w:rsidRDefault="005D524D" w:rsidP="009D788C">
      <w:pPr>
        <w:spacing w:before="120" w:after="0" w:line="240" w:lineRule="auto"/>
        <w:jc w:val="center"/>
        <w:rPr>
          <w:rFonts w:ascii="Arial" w:hAnsi="Arial" w:cs="Arial"/>
          <w:sz w:val="20"/>
        </w:rPr>
      </w:pPr>
    </w:p>
    <w:p w:rsidR="00556450" w:rsidRPr="00556450" w:rsidRDefault="008D6383" w:rsidP="005D524D">
      <w:pPr>
        <w:spacing w:before="120" w:after="0" w:line="240" w:lineRule="auto"/>
        <w:rPr>
          <w:rFonts w:ascii="Arial" w:hAnsi="Arial" w:cs="Arial"/>
          <w:sz w:val="20"/>
        </w:rPr>
      </w:pPr>
      <w:r>
        <w:rPr>
          <w:rFonts w:ascii="Arial" w:hAnsi="Arial" w:cs="Arial"/>
          <w:sz w:val="20"/>
        </w:rPr>
        <w:t xml:space="preserve">The School of Business Retention and Graduation Rate Working Group includes Keith Roberts, Jim Spee, Derek Dsa, Nancy Svenson, Christine Taitano, </w:t>
      </w:r>
      <w:r w:rsidR="00CE69E1">
        <w:rPr>
          <w:rFonts w:ascii="Arial" w:hAnsi="Arial" w:cs="Arial"/>
          <w:sz w:val="20"/>
        </w:rPr>
        <w:t xml:space="preserve">Maria Johnson, </w:t>
      </w:r>
      <w:r>
        <w:rPr>
          <w:rFonts w:ascii="Arial" w:hAnsi="Arial" w:cs="Arial"/>
          <w:sz w:val="20"/>
        </w:rPr>
        <w:t xml:space="preserve">Stacey Neeley, </w:t>
      </w:r>
      <w:r w:rsidR="00CE69E1">
        <w:rPr>
          <w:rFonts w:ascii="Arial" w:hAnsi="Arial" w:cs="Arial"/>
          <w:sz w:val="20"/>
        </w:rPr>
        <w:t xml:space="preserve">Alisha Aguilar </w:t>
      </w:r>
      <w:r>
        <w:rPr>
          <w:rFonts w:ascii="Arial" w:hAnsi="Arial" w:cs="Arial"/>
          <w:sz w:val="20"/>
        </w:rPr>
        <w:t>and me.  We meet regularly with the goal of understanding and improving our student</w:t>
      </w:r>
      <w:r w:rsidR="0089485C">
        <w:rPr>
          <w:rFonts w:ascii="Arial" w:hAnsi="Arial" w:cs="Arial"/>
          <w:sz w:val="20"/>
        </w:rPr>
        <w:t>s’</w:t>
      </w:r>
      <w:r>
        <w:rPr>
          <w:rFonts w:ascii="Arial" w:hAnsi="Arial" w:cs="Arial"/>
          <w:sz w:val="20"/>
        </w:rPr>
        <w:t xml:space="preserve"> success rates.  This paper provides a brief update of the current rates for both our post-traditional undergraduate students and our graduate students.    </w:t>
      </w:r>
      <w:r w:rsidR="006F4AE3">
        <w:rPr>
          <w:rFonts w:ascii="Arial" w:hAnsi="Arial" w:cs="Arial"/>
          <w:sz w:val="20"/>
        </w:rPr>
        <w:t>The retention rates are current as of our Fall census and the graduation rates are current as of June 30</w:t>
      </w:r>
      <w:r w:rsidR="006F4AE3" w:rsidRPr="00CE0215">
        <w:rPr>
          <w:rFonts w:ascii="Arial" w:hAnsi="Arial" w:cs="Arial"/>
          <w:sz w:val="20"/>
          <w:vertAlign w:val="superscript"/>
        </w:rPr>
        <w:t>th</w:t>
      </w:r>
      <w:r w:rsidR="006F4AE3">
        <w:rPr>
          <w:rFonts w:ascii="Arial" w:hAnsi="Arial" w:cs="Arial"/>
          <w:sz w:val="20"/>
        </w:rPr>
        <w:t xml:space="preserve">, 2013.    </w:t>
      </w:r>
    </w:p>
    <w:p w:rsidR="004A41AB" w:rsidRDefault="009569CD" w:rsidP="004A41AB">
      <w:pPr>
        <w:spacing w:before="120" w:after="0" w:line="240" w:lineRule="auto"/>
        <w:rPr>
          <w:rFonts w:ascii="Arial" w:hAnsi="Arial" w:cs="Arial"/>
          <w:sz w:val="20"/>
        </w:rPr>
      </w:pPr>
      <w:r w:rsidRPr="00556450">
        <w:rPr>
          <w:rFonts w:ascii="Arial" w:hAnsi="Arial" w:cs="Arial"/>
          <w:sz w:val="20"/>
        </w:rPr>
        <w:t xml:space="preserve"> </w:t>
      </w:r>
    </w:p>
    <w:p w:rsidR="0089485C" w:rsidRDefault="00A205C2" w:rsidP="0089485C">
      <w:pPr>
        <w:spacing w:before="120" w:after="0" w:line="240" w:lineRule="auto"/>
        <w:rPr>
          <w:rFonts w:ascii="Arial" w:hAnsi="Arial" w:cs="Arial"/>
          <w:b/>
        </w:rPr>
      </w:pPr>
      <w:r>
        <w:rPr>
          <w:rFonts w:ascii="Arial" w:hAnsi="Arial" w:cs="Arial"/>
          <w:b/>
        </w:rPr>
        <w:t>Undergraduates</w:t>
      </w:r>
    </w:p>
    <w:p w:rsidR="008D6383" w:rsidRPr="0089485C" w:rsidRDefault="0089485C" w:rsidP="0089485C">
      <w:pPr>
        <w:spacing w:before="120" w:after="0" w:line="240" w:lineRule="auto"/>
        <w:rPr>
          <w:rFonts w:ascii="Arial" w:hAnsi="Arial" w:cs="Arial"/>
          <w:b/>
        </w:rPr>
      </w:pPr>
      <w:r w:rsidRPr="0089485C">
        <w:rPr>
          <w:rFonts w:ascii="Arial" w:hAnsi="Arial" w:cs="Arial"/>
          <w:sz w:val="20"/>
        </w:rPr>
        <w:t xml:space="preserve">In order to conduct retention and graduation rate analysis, it is important to clearly define when a student begins a program.  </w:t>
      </w:r>
      <w:r w:rsidR="008D6383" w:rsidRPr="0089485C">
        <w:rPr>
          <w:rFonts w:ascii="Arial" w:hAnsi="Arial" w:cs="Arial"/>
          <w:sz w:val="20"/>
        </w:rPr>
        <w:t>For the purposes of this analysis</w:t>
      </w:r>
      <w:r w:rsidR="008D6383">
        <w:rPr>
          <w:rFonts w:ascii="Arial" w:hAnsi="Arial" w:cs="Arial"/>
          <w:sz w:val="20"/>
        </w:rPr>
        <w:t xml:space="preserve">, I’ve defined a starting cohort as </w:t>
      </w:r>
      <w:r w:rsidR="008D6383" w:rsidRPr="00556450">
        <w:rPr>
          <w:rFonts w:ascii="Arial" w:hAnsi="Arial" w:cs="Arial"/>
          <w:sz w:val="20"/>
        </w:rPr>
        <w:t xml:space="preserve">a student beginning their program in either </w:t>
      </w:r>
      <w:r w:rsidR="008D6383" w:rsidRPr="00556450">
        <w:rPr>
          <w:rFonts w:ascii="Arial" w:hAnsi="Arial" w:cs="Arial"/>
          <w:i/>
          <w:sz w:val="20"/>
        </w:rPr>
        <w:t xml:space="preserve">Fall </w:t>
      </w:r>
      <w:r w:rsidR="008D6383" w:rsidRPr="00556450">
        <w:rPr>
          <w:rFonts w:ascii="Arial" w:hAnsi="Arial" w:cs="Arial"/>
          <w:sz w:val="20"/>
        </w:rPr>
        <w:t>(July 1</w:t>
      </w:r>
      <w:r w:rsidR="008D6383" w:rsidRPr="00556450">
        <w:rPr>
          <w:rFonts w:ascii="Arial" w:hAnsi="Arial" w:cs="Arial"/>
          <w:sz w:val="20"/>
          <w:vertAlign w:val="superscript"/>
        </w:rPr>
        <w:t>st</w:t>
      </w:r>
      <w:r w:rsidR="008D6383" w:rsidRPr="00556450">
        <w:rPr>
          <w:rFonts w:ascii="Arial" w:hAnsi="Arial" w:cs="Arial"/>
          <w:sz w:val="20"/>
        </w:rPr>
        <w:t xml:space="preserve"> to December 31</w:t>
      </w:r>
      <w:r w:rsidR="008D6383" w:rsidRPr="00556450">
        <w:rPr>
          <w:rFonts w:ascii="Arial" w:hAnsi="Arial" w:cs="Arial"/>
          <w:sz w:val="20"/>
          <w:vertAlign w:val="superscript"/>
        </w:rPr>
        <w:t>st</w:t>
      </w:r>
      <w:r w:rsidR="008D6383" w:rsidRPr="00556450">
        <w:rPr>
          <w:rFonts w:ascii="Arial" w:hAnsi="Arial" w:cs="Arial"/>
          <w:sz w:val="20"/>
        </w:rPr>
        <w:t xml:space="preserve">) or </w:t>
      </w:r>
      <w:r w:rsidR="008D6383" w:rsidRPr="00556450">
        <w:rPr>
          <w:rFonts w:ascii="Arial" w:hAnsi="Arial" w:cs="Arial"/>
          <w:i/>
          <w:sz w:val="20"/>
        </w:rPr>
        <w:t xml:space="preserve">Spring </w:t>
      </w:r>
      <w:r w:rsidR="008D6383" w:rsidRPr="00556450">
        <w:rPr>
          <w:rFonts w:ascii="Arial" w:hAnsi="Arial" w:cs="Arial"/>
          <w:sz w:val="20"/>
        </w:rPr>
        <w:t>(January 1</w:t>
      </w:r>
      <w:r w:rsidR="008D6383" w:rsidRPr="00556450">
        <w:rPr>
          <w:rFonts w:ascii="Arial" w:hAnsi="Arial" w:cs="Arial"/>
          <w:sz w:val="20"/>
          <w:vertAlign w:val="superscript"/>
        </w:rPr>
        <w:t>st</w:t>
      </w:r>
      <w:r w:rsidR="008D6383" w:rsidRPr="00556450">
        <w:rPr>
          <w:rFonts w:ascii="Arial" w:hAnsi="Arial" w:cs="Arial"/>
          <w:sz w:val="20"/>
        </w:rPr>
        <w:t xml:space="preserve"> to June 30</w:t>
      </w:r>
      <w:r w:rsidR="008D6383" w:rsidRPr="00556450">
        <w:rPr>
          <w:rFonts w:ascii="Arial" w:hAnsi="Arial" w:cs="Arial"/>
          <w:sz w:val="20"/>
          <w:vertAlign w:val="superscript"/>
        </w:rPr>
        <w:t>th</w:t>
      </w:r>
      <w:r w:rsidR="008D6383" w:rsidRPr="00556450">
        <w:rPr>
          <w:rFonts w:ascii="Arial" w:hAnsi="Arial" w:cs="Arial"/>
          <w:sz w:val="20"/>
        </w:rPr>
        <w:t>)</w:t>
      </w:r>
      <w:r w:rsidR="008D6383">
        <w:rPr>
          <w:rFonts w:ascii="Arial" w:hAnsi="Arial" w:cs="Arial"/>
          <w:sz w:val="20"/>
        </w:rPr>
        <w:t xml:space="preserve">.  </w:t>
      </w:r>
    </w:p>
    <w:p w:rsidR="00DA2470" w:rsidRDefault="00DA2470" w:rsidP="00556450">
      <w:pPr>
        <w:tabs>
          <w:tab w:val="left" w:pos="4388"/>
        </w:tabs>
        <w:spacing w:before="120" w:after="0" w:line="240" w:lineRule="auto"/>
        <w:rPr>
          <w:rFonts w:ascii="Arial" w:hAnsi="Arial" w:cs="Arial"/>
          <w:sz w:val="20"/>
        </w:rPr>
      </w:pPr>
      <w:r>
        <w:rPr>
          <w:rFonts w:ascii="Arial" w:hAnsi="Arial" w:cs="Arial"/>
          <w:sz w:val="20"/>
        </w:rPr>
        <w:t xml:space="preserve">In looking at </w:t>
      </w:r>
      <w:r w:rsidR="009E3350">
        <w:rPr>
          <w:rFonts w:ascii="Arial" w:hAnsi="Arial" w:cs="Arial"/>
          <w:sz w:val="20"/>
        </w:rPr>
        <w:t>retention and graduation rates,</w:t>
      </w:r>
      <w:r>
        <w:rPr>
          <w:rFonts w:ascii="Arial" w:hAnsi="Arial" w:cs="Arial"/>
          <w:sz w:val="20"/>
        </w:rPr>
        <w:t xml:space="preserve"> common questions are “are these rates good?” and “what should they be?”   </w:t>
      </w:r>
      <w:r w:rsidR="009E3350">
        <w:rPr>
          <w:rFonts w:ascii="Arial" w:hAnsi="Arial" w:cs="Arial"/>
          <w:sz w:val="20"/>
        </w:rPr>
        <w:t xml:space="preserve">Because </w:t>
      </w:r>
      <w:r>
        <w:rPr>
          <w:rFonts w:ascii="Arial" w:hAnsi="Arial" w:cs="Arial"/>
          <w:sz w:val="20"/>
        </w:rPr>
        <w:t>Universities are currently only required to publish information on retention and graduation rates for their first-t</w:t>
      </w:r>
      <w:r w:rsidR="009E3350">
        <w:rPr>
          <w:rFonts w:ascii="Arial" w:hAnsi="Arial" w:cs="Arial"/>
          <w:sz w:val="20"/>
        </w:rPr>
        <w:t>ime full-time entering freshmen</w:t>
      </w:r>
      <w:r>
        <w:rPr>
          <w:rFonts w:ascii="Arial" w:hAnsi="Arial" w:cs="Arial"/>
          <w:sz w:val="20"/>
        </w:rPr>
        <w:t>,</w:t>
      </w:r>
      <w:r w:rsidR="006E6292">
        <w:rPr>
          <w:rFonts w:ascii="Arial" w:hAnsi="Arial" w:cs="Arial"/>
          <w:sz w:val="20"/>
        </w:rPr>
        <w:t xml:space="preserve"> most schools do not </w:t>
      </w:r>
      <w:r>
        <w:rPr>
          <w:rFonts w:ascii="Arial" w:hAnsi="Arial" w:cs="Arial"/>
          <w:sz w:val="20"/>
        </w:rPr>
        <w:t xml:space="preserve">publish information on any other populations.  Thus, it is difficult to find comparable rates with which to benchmark our student success.  </w:t>
      </w:r>
    </w:p>
    <w:p w:rsidR="003B31A2" w:rsidRDefault="006E6292" w:rsidP="003B31A2">
      <w:pPr>
        <w:tabs>
          <w:tab w:val="left" w:pos="4388"/>
        </w:tabs>
        <w:spacing w:before="120" w:after="0" w:line="240" w:lineRule="auto"/>
        <w:rPr>
          <w:rFonts w:ascii="Arial" w:hAnsi="Arial" w:cs="Arial"/>
          <w:sz w:val="20"/>
        </w:rPr>
      </w:pPr>
      <w:r>
        <w:rPr>
          <w:rFonts w:ascii="Arial" w:hAnsi="Arial" w:cs="Arial"/>
          <w:sz w:val="20"/>
        </w:rPr>
        <w:t>While it is difficult to find external comparisons, we can compare the post-traditional undergraduate 1</w:t>
      </w:r>
      <w:r w:rsidRPr="006E6292">
        <w:rPr>
          <w:rFonts w:ascii="Arial" w:hAnsi="Arial" w:cs="Arial"/>
          <w:sz w:val="20"/>
          <w:vertAlign w:val="superscript"/>
        </w:rPr>
        <w:t>st</w:t>
      </w:r>
      <w:r>
        <w:rPr>
          <w:rFonts w:ascii="Arial" w:hAnsi="Arial" w:cs="Arial"/>
          <w:sz w:val="20"/>
        </w:rPr>
        <w:t xml:space="preserve"> to 3</w:t>
      </w:r>
      <w:r w:rsidRPr="006E6292">
        <w:rPr>
          <w:rFonts w:ascii="Arial" w:hAnsi="Arial" w:cs="Arial"/>
          <w:sz w:val="20"/>
          <w:vertAlign w:val="superscript"/>
        </w:rPr>
        <w:t>rd</w:t>
      </w:r>
      <w:r>
        <w:rPr>
          <w:rFonts w:ascii="Arial" w:hAnsi="Arial" w:cs="Arial"/>
          <w:sz w:val="20"/>
        </w:rPr>
        <w:t xml:space="preserve"> semester retention </w:t>
      </w:r>
      <w:r w:rsidR="00DA2470">
        <w:rPr>
          <w:rFonts w:ascii="Arial" w:hAnsi="Arial" w:cs="Arial"/>
          <w:sz w:val="20"/>
        </w:rPr>
        <w:t xml:space="preserve">rates to those of our traditional, first-time full-time entering freshmen population.  </w:t>
      </w:r>
      <w:r>
        <w:rPr>
          <w:rFonts w:ascii="Arial" w:hAnsi="Arial" w:cs="Arial"/>
          <w:sz w:val="20"/>
        </w:rPr>
        <w:t>Using this comparison,</w:t>
      </w:r>
      <w:r w:rsidR="00DA2470">
        <w:rPr>
          <w:rFonts w:ascii="Arial" w:hAnsi="Arial" w:cs="Arial"/>
          <w:sz w:val="20"/>
        </w:rPr>
        <w:t xml:space="preserve"> the retention rates for our post-traditional undergraduates are very similar to those of our first-time fu</w:t>
      </w:r>
      <w:r w:rsidR="003B31A2">
        <w:rPr>
          <w:rFonts w:ascii="Arial" w:hAnsi="Arial" w:cs="Arial"/>
          <w:sz w:val="20"/>
        </w:rPr>
        <w:t xml:space="preserve">ll-time entering freshmen.  Post-traditional student graduation rates are slightly lower than those of our traditional students, but they are higher than the first-time full-time entering freshmen rates for public universities in the area.  According to the National Center of Education Statistics College Navigator website, CSU-SB’s current 6 year graduation rate for their first-time full-time entering freshmen is 44% (California State University San Bernardino) and CSU-Los Angeles’ rate is 37% (California State University Los Angeles).   </w:t>
      </w:r>
    </w:p>
    <w:p w:rsidR="006E6292" w:rsidRDefault="00112469" w:rsidP="00556450">
      <w:pPr>
        <w:tabs>
          <w:tab w:val="left" w:pos="4388"/>
        </w:tabs>
        <w:spacing w:before="120" w:after="0" w:line="240" w:lineRule="auto"/>
        <w:rPr>
          <w:rFonts w:ascii="Arial" w:hAnsi="Arial" w:cs="Arial"/>
          <w:sz w:val="20"/>
        </w:rPr>
      </w:pPr>
      <w:r>
        <w:rPr>
          <w:rFonts w:ascii="Arial" w:hAnsi="Arial" w:cs="Arial"/>
          <w:sz w:val="20"/>
        </w:rPr>
        <w:t>See G</w:t>
      </w:r>
      <w:r w:rsidR="00A0458A">
        <w:rPr>
          <w:rFonts w:ascii="Arial" w:hAnsi="Arial" w:cs="Arial"/>
          <w:sz w:val="20"/>
        </w:rPr>
        <w:t xml:space="preserve">raphs 1 </w:t>
      </w:r>
      <w:r w:rsidR="003B31A2">
        <w:rPr>
          <w:rFonts w:ascii="Arial" w:hAnsi="Arial" w:cs="Arial"/>
          <w:sz w:val="20"/>
        </w:rPr>
        <w:t>through 4</w:t>
      </w:r>
      <w:r w:rsidR="00A0458A">
        <w:rPr>
          <w:rFonts w:ascii="Arial" w:hAnsi="Arial" w:cs="Arial"/>
          <w:sz w:val="20"/>
        </w:rPr>
        <w:t xml:space="preserve"> </w:t>
      </w:r>
      <w:r>
        <w:rPr>
          <w:rFonts w:ascii="Arial" w:hAnsi="Arial" w:cs="Arial"/>
          <w:sz w:val="20"/>
        </w:rPr>
        <w:t xml:space="preserve">for the </w:t>
      </w:r>
      <w:r w:rsidR="0089485C">
        <w:rPr>
          <w:rFonts w:ascii="Arial" w:hAnsi="Arial" w:cs="Arial"/>
          <w:sz w:val="20"/>
        </w:rPr>
        <w:t xml:space="preserve">retention and graduation rates for both our </w:t>
      </w:r>
      <w:r w:rsidR="00A0458A">
        <w:rPr>
          <w:rFonts w:ascii="Arial" w:hAnsi="Arial" w:cs="Arial"/>
          <w:sz w:val="20"/>
        </w:rPr>
        <w:t>post-traditional students</w:t>
      </w:r>
      <w:r w:rsidR="0089485C">
        <w:rPr>
          <w:rFonts w:ascii="Arial" w:hAnsi="Arial" w:cs="Arial"/>
          <w:sz w:val="20"/>
        </w:rPr>
        <w:t xml:space="preserve"> and our first-time full-time entering freshmen</w:t>
      </w:r>
      <w:r w:rsidR="003B31A2">
        <w:rPr>
          <w:rFonts w:ascii="Arial" w:hAnsi="Arial" w:cs="Arial"/>
          <w:sz w:val="20"/>
        </w:rPr>
        <w:t xml:space="preserve">, including retention and graduation rates when the post-traditional students are disaggregated by race / ethnicity.  </w:t>
      </w:r>
      <w:r w:rsidR="00A0458A">
        <w:rPr>
          <w:rFonts w:ascii="Arial" w:hAnsi="Arial" w:cs="Arial"/>
          <w:sz w:val="20"/>
        </w:rPr>
        <w:t xml:space="preserve"> </w:t>
      </w:r>
    </w:p>
    <w:p w:rsidR="0089485C" w:rsidRDefault="0089485C" w:rsidP="00556450">
      <w:pPr>
        <w:tabs>
          <w:tab w:val="left" w:pos="4388"/>
        </w:tabs>
        <w:spacing w:before="120" w:after="0" w:line="240" w:lineRule="auto"/>
        <w:rPr>
          <w:rFonts w:ascii="Arial" w:hAnsi="Arial" w:cs="Arial"/>
          <w:sz w:val="20"/>
        </w:rPr>
      </w:pPr>
    </w:p>
    <w:p w:rsidR="0089485C" w:rsidRPr="00556450" w:rsidRDefault="0089485C" w:rsidP="0089485C">
      <w:pPr>
        <w:tabs>
          <w:tab w:val="left" w:pos="4388"/>
        </w:tabs>
        <w:spacing w:before="120" w:after="0" w:line="240" w:lineRule="auto"/>
        <w:rPr>
          <w:rFonts w:ascii="Arial" w:hAnsi="Arial" w:cs="Arial"/>
          <w:b/>
          <w:sz w:val="20"/>
        </w:rPr>
      </w:pPr>
      <w:r w:rsidRPr="00556450">
        <w:rPr>
          <w:rFonts w:ascii="Arial" w:hAnsi="Arial" w:cs="Arial"/>
          <w:b/>
          <w:sz w:val="20"/>
        </w:rPr>
        <w:t xml:space="preserve">Graph 1:  </w:t>
      </w:r>
      <w:r>
        <w:rPr>
          <w:rFonts w:ascii="Arial" w:hAnsi="Arial" w:cs="Arial"/>
          <w:b/>
          <w:sz w:val="20"/>
        </w:rPr>
        <w:t xml:space="preserve">Post-Traditional Undergraduate Retention and Graduation Rates </w:t>
      </w:r>
    </w:p>
    <w:p w:rsidR="00A0458A" w:rsidRDefault="0089485C" w:rsidP="00A0458A">
      <w:pPr>
        <w:tabs>
          <w:tab w:val="left" w:pos="4388"/>
        </w:tabs>
        <w:spacing w:before="120" w:after="0" w:line="240" w:lineRule="auto"/>
        <w:rPr>
          <w:rFonts w:ascii="Arial" w:hAnsi="Arial" w:cs="Arial"/>
          <w:b/>
          <w:sz w:val="20"/>
        </w:rPr>
      </w:pPr>
      <w:r>
        <w:rPr>
          <w:noProof/>
        </w:rPr>
        <w:drawing>
          <wp:inline distT="0" distB="0" distL="0" distR="0" wp14:anchorId="1FE0F10F" wp14:editId="138C9429">
            <wp:extent cx="6810375" cy="27813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485C" w:rsidRPr="00556450" w:rsidRDefault="003B31A2" w:rsidP="0089485C">
      <w:pPr>
        <w:tabs>
          <w:tab w:val="left" w:pos="4388"/>
        </w:tabs>
        <w:spacing w:before="120" w:after="0" w:line="240" w:lineRule="auto"/>
        <w:rPr>
          <w:rFonts w:ascii="Arial" w:hAnsi="Arial" w:cs="Arial"/>
          <w:b/>
          <w:sz w:val="20"/>
        </w:rPr>
      </w:pPr>
      <w:r>
        <w:rPr>
          <w:rFonts w:ascii="Arial" w:hAnsi="Arial" w:cs="Arial"/>
          <w:b/>
          <w:sz w:val="20"/>
        </w:rPr>
        <w:lastRenderedPageBreak/>
        <w:t>G</w:t>
      </w:r>
      <w:r w:rsidR="0089485C">
        <w:rPr>
          <w:rFonts w:ascii="Arial" w:hAnsi="Arial" w:cs="Arial"/>
          <w:b/>
          <w:sz w:val="20"/>
        </w:rPr>
        <w:t>raph 2</w:t>
      </w:r>
      <w:r w:rsidR="0089485C" w:rsidRPr="00556450">
        <w:rPr>
          <w:rFonts w:ascii="Arial" w:hAnsi="Arial" w:cs="Arial"/>
          <w:b/>
          <w:sz w:val="20"/>
        </w:rPr>
        <w:t xml:space="preserve">:  </w:t>
      </w:r>
      <w:r w:rsidR="0089485C">
        <w:rPr>
          <w:rFonts w:ascii="Arial" w:hAnsi="Arial" w:cs="Arial"/>
          <w:b/>
          <w:sz w:val="20"/>
        </w:rPr>
        <w:t xml:space="preserve">College of Arts &amp; Sciences First-Time Full-Time Entering Freshmen Retention and Graduation Rates </w:t>
      </w:r>
    </w:p>
    <w:p w:rsidR="0089485C" w:rsidRDefault="0089485C" w:rsidP="00A0458A">
      <w:pPr>
        <w:tabs>
          <w:tab w:val="left" w:pos="4388"/>
        </w:tabs>
        <w:spacing w:before="120" w:after="0" w:line="240" w:lineRule="auto"/>
        <w:rPr>
          <w:rFonts w:ascii="Arial" w:hAnsi="Arial" w:cs="Arial"/>
          <w:b/>
          <w:sz w:val="20"/>
        </w:rPr>
      </w:pPr>
      <w:r>
        <w:rPr>
          <w:noProof/>
        </w:rPr>
        <w:drawing>
          <wp:inline distT="0" distB="0" distL="0" distR="0" wp14:anchorId="131CACDC" wp14:editId="4E201DBB">
            <wp:extent cx="6985000" cy="2421467"/>
            <wp:effectExtent l="0" t="0" r="254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31A2" w:rsidRDefault="003B31A2" w:rsidP="00A0458A">
      <w:pPr>
        <w:tabs>
          <w:tab w:val="left" w:pos="4388"/>
        </w:tabs>
        <w:spacing w:before="120" w:after="0" w:line="240" w:lineRule="auto"/>
        <w:rPr>
          <w:rFonts w:ascii="Arial" w:hAnsi="Arial" w:cs="Arial"/>
          <w:b/>
          <w:sz w:val="20"/>
        </w:rPr>
      </w:pPr>
    </w:p>
    <w:p w:rsidR="00A0458A" w:rsidRPr="00556450" w:rsidRDefault="003B31A2" w:rsidP="00A0458A">
      <w:pPr>
        <w:tabs>
          <w:tab w:val="left" w:pos="4388"/>
        </w:tabs>
        <w:spacing w:before="120" w:after="0" w:line="240" w:lineRule="auto"/>
        <w:rPr>
          <w:rFonts w:ascii="Arial" w:hAnsi="Arial" w:cs="Arial"/>
          <w:b/>
          <w:sz w:val="20"/>
        </w:rPr>
      </w:pPr>
      <w:r>
        <w:rPr>
          <w:rFonts w:ascii="Arial" w:hAnsi="Arial" w:cs="Arial"/>
          <w:b/>
          <w:sz w:val="20"/>
        </w:rPr>
        <w:t>Graph 3</w:t>
      </w:r>
      <w:r w:rsidR="00A0458A" w:rsidRPr="00556450">
        <w:rPr>
          <w:rFonts w:ascii="Arial" w:hAnsi="Arial" w:cs="Arial"/>
          <w:b/>
          <w:sz w:val="20"/>
        </w:rPr>
        <w:t xml:space="preserve">:  </w:t>
      </w:r>
      <w:r w:rsidR="00A0458A">
        <w:rPr>
          <w:rFonts w:ascii="Arial" w:hAnsi="Arial" w:cs="Arial"/>
          <w:b/>
          <w:sz w:val="20"/>
        </w:rPr>
        <w:t>School of Business Undergraduate Retention Rates by Race / Ethnicity</w:t>
      </w:r>
    </w:p>
    <w:p w:rsidR="00A0458A" w:rsidRDefault="00A0458A" w:rsidP="00A0458A">
      <w:pPr>
        <w:spacing w:before="120" w:after="0" w:line="240" w:lineRule="auto"/>
        <w:rPr>
          <w:rFonts w:ascii="Arial" w:hAnsi="Arial" w:cs="Arial"/>
          <w:sz w:val="20"/>
        </w:rPr>
      </w:pPr>
      <w:r>
        <w:rPr>
          <w:noProof/>
        </w:rPr>
        <w:drawing>
          <wp:inline distT="0" distB="0" distL="0" distR="0" wp14:anchorId="41217669" wp14:editId="3BC86E11">
            <wp:extent cx="7023100" cy="2400300"/>
            <wp:effectExtent l="0" t="0" r="254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2469" w:rsidRDefault="00112469" w:rsidP="00EF75C6">
      <w:pPr>
        <w:tabs>
          <w:tab w:val="left" w:pos="4388"/>
        </w:tabs>
        <w:spacing w:before="120" w:after="0" w:line="240" w:lineRule="auto"/>
        <w:rPr>
          <w:rFonts w:ascii="Arial" w:hAnsi="Arial" w:cs="Arial"/>
          <w:b/>
          <w:sz w:val="20"/>
        </w:rPr>
      </w:pPr>
    </w:p>
    <w:p w:rsidR="00EF75C6" w:rsidRPr="00556450" w:rsidRDefault="00EF75C6" w:rsidP="00EF75C6">
      <w:pPr>
        <w:tabs>
          <w:tab w:val="left" w:pos="4388"/>
        </w:tabs>
        <w:spacing w:before="120" w:after="0" w:line="240" w:lineRule="auto"/>
        <w:rPr>
          <w:rFonts w:ascii="Arial" w:hAnsi="Arial" w:cs="Arial"/>
          <w:b/>
          <w:sz w:val="20"/>
        </w:rPr>
      </w:pPr>
      <w:r w:rsidRPr="00556450">
        <w:rPr>
          <w:rFonts w:ascii="Arial" w:hAnsi="Arial" w:cs="Arial"/>
          <w:b/>
          <w:sz w:val="20"/>
        </w:rPr>
        <w:t xml:space="preserve">Graph </w:t>
      </w:r>
      <w:r>
        <w:rPr>
          <w:rFonts w:ascii="Arial" w:hAnsi="Arial" w:cs="Arial"/>
          <w:b/>
          <w:sz w:val="20"/>
        </w:rPr>
        <w:t>4</w:t>
      </w:r>
      <w:r w:rsidRPr="00556450">
        <w:rPr>
          <w:rFonts w:ascii="Arial" w:hAnsi="Arial" w:cs="Arial"/>
          <w:b/>
          <w:sz w:val="20"/>
        </w:rPr>
        <w:t xml:space="preserve">:  </w:t>
      </w:r>
      <w:r>
        <w:rPr>
          <w:rFonts w:ascii="Arial" w:hAnsi="Arial" w:cs="Arial"/>
          <w:b/>
          <w:sz w:val="20"/>
        </w:rPr>
        <w:t>School of Business Undergraduate Graduation Rates by Race / Ethnicity</w:t>
      </w:r>
    </w:p>
    <w:p w:rsidR="00EF75C6" w:rsidRDefault="009409B4" w:rsidP="00556450">
      <w:pPr>
        <w:spacing w:before="120" w:after="0" w:line="240" w:lineRule="auto"/>
        <w:rPr>
          <w:rFonts w:ascii="Arial" w:hAnsi="Arial" w:cs="Arial"/>
          <w:sz w:val="20"/>
        </w:rPr>
      </w:pPr>
      <w:r>
        <w:rPr>
          <w:noProof/>
        </w:rPr>
        <w:drawing>
          <wp:inline distT="0" distB="0" distL="0" distR="0" wp14:anchorId="3CCE9040" wp14:editId="5B80C223">
            <wp:extent cx="7023100" cy="2476500"/>
            <wp:effectExtent l="0" t="0" r="254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1C6A" w:rsidRDefault="003B31A2" w:rsidP="006F1C6A">
      <w:pPr>
        <w:tabs>
          <w:tab w:val="left" w:pos="4388"/>
        </w:tabs>
        <w:spacing w:before="120" w:after="0" w:line="240" w:lineRule="auto"/>
        <w:rPr>
          <w:rFonts w:ascii="Arial" w:hAnsi="Arial" w:cs="Arial"/>
          <w:sz w:val="20"/>
        </w:rPr>
      </w:pPr>
      <w:r>
        <w:rPr>
          <w:rFonts w:ascii="Arial" w:hAnsi="Arial" w:cs="Arial"/>
          <w:sz w:val="20"/>
        </w:rPr>
        <w:lastRenderedPageBreak/>
        <w:t xml:space="preserve">As you can see in graphs 3 and 4, </w:t>
      </w:r>
      <w:r w:rsidR="006F1C6A">
        <w:rPr>
          <w:rFonts w:ascii="Arial" w:hAnsi="Arial" w:cs="Arial"/>
          <w:sz w:val="20"/>
        </w:rPr>
        <w:t>there are segments of the population with lower rates</w:t>
      </w:r>
      <w:r>
        <w:rPr>
          <w:rFonts w:ascii="Arial" w:hAnsi="Arial" w:cs="Arial"/>
          <w:sz w:val="20"/>
        </w:rPr>
        <w:t xml:space="preserve">.  The School of Business Retention and Gradation Rate Working Group has </w:t>
      </w:r>
      <w:r w:rsidR="006F1C6A">
        <w:rPr>
          <w:rFonts w:ascii="Arial" w:hAnsi="Arial" w:cs="Arial"/>
          <w:sz w:val="20"/>
        </w:rPr>
        <w:t xml:space="preserve">been discussing strategies about how to address these sub-populations.  Some of these segments have few students, so a small number of students who are not retained or do not graduate can have a significant impact on the percentage.   </w:t>
      </w:r>
    </w:p>
    <w:p w:rsidR="006F1C6A" w:rsidRDefault="006F1C6A" w:rsidP="006F1C6A">
      <w:pPr>
        <w:spacing w:before="120" w:after="0" w:line="240" w:lineRule="auto"/>
        <w:rPr>
          <w:rFonts w:ascii="Arial" w:hAnsi="Arial" w:cs="Arial"/>
          <w:sz w:val="20"/>
        </w:rPr>
      </w:pPr>
      <w:r>
        <w:rPr>
          <w:rFonts w:ascii="Arial" w:hAnsi="Arial" w:cs="Arial"/>
          <w:sz w:val="20"/>
        </w:rPr>
        <w:t xml:space="preserve">In tracking the post-traditional graduation rate, we’ve notice that it is common that degree-completion students take longer to complete their program than our traditional undergraduates.  The post-traditional students are often balancing school with a full-time job and family obligations.  Thus, we expect the cohort graduation rates to continue increasing over the next couple of years.  </w:t>
      </w:r>
    </w:p>
    <w:p w:rsidR="00460362" w:rsidRDefault="00460362" w:rsidP="00460362">
      <w:pPr>
        <w:tabs>
          <w:tab w:val="left" w:pos="4388"/>
        </w:tabs>
        <w:spacing w:before="120" w:after="0" w:line="240" w:lineRule="auto"/>
        <w:rPr>
          <w:rFonts w:ascii="Arial" w:hAnsi="Arial" w:cs="Arial"/>
          <w:sz w:val="20"/>
        </w:rPr>
      </w:pPr>
      <w:r>
        <w:rPr>
          <w:rFonts w:ascii="Arial" w:hAnsi="Arial" w:cs="Arial"/>
          <w:sz w:val="20"/>
        </w:rPr>
        <w:t>As a final note, using the National Student Clearinghouse database, we are also able to determine if a student who is not retained is enrolled at another institution.  In a study conducted in Fall 2012, Institutional Research analyzed</w:t>
      </w:r>
      <w:r w:rsidRPr="00460362">
        <w:rPr>
          <w:rFonts w:ascii="Arial" w:hAnsi="Arial" w:cs="Arial"/>
          <w:sz w:val="20"/>
        </w:rPr>
        <w:t xml:space="preserve"> all School of Business undergraduate students starting between Fall 2003 and Spring 2010 who were not enrol</w:t>
      </w:r>
      <w:r w:rsidR="003B31A2">
        <w:rPr>
          <w:rFonts w:ascii="Arial" w:hAnsi="Arial" w:cs="Arial"/>
          <w:sz w:val="20"/>
        </w:rPr>
        <w:t>led in Spring 2012.  This group of</w:t>
      </w:r>
      <w:r w:rsidRPr="00460362">
        <w:rPr>
          <w:rFonts w:ascii="Arial" w:hAnsi="Arial" w:cs="Arial"/>
          <w:sz w:val="20"/>
        </w:rPr>
        <w:t xml:space="preserve"> 1,191 students was submitted to the National Student Clearinghouse (NSC) requesting subsequent enrollment data.  Only 394 of the 1,191 students (33.1%) were found in the NSC database.  Because an overwhelming majority of schools submit data to the National Student Clearinghouse, we can conclude that the 797 students not found in the NSC have not been enrolled in another higher education program in the United States.  For the 394 students for whom subsequent enrollment information was found in the NCS database, </w:t>
      </w:r>
      <w:r w:rsidR="00112469">
        <w:rPr>
          <w:rFonts w:ascii="Arial" w:hAnsi="Arial" w:cs="Arial"/>
          <w:sz w:val="20"/>
        </w:rPr>
        <w:t xml:space="preserve">only 196 (16.5% of the original 1,191) progressed onto another 4 year college.  </w:t>
      </w:r>
    </w:p>
    <w:p w:rsidR="009409B4" w:rsidRDefault="009409B4" w:rsidP="005D524D">
      <w:pPr>
        <w:spacing w:before="120" w:after="0" w:line="240" w:lineRule="auto"/>
        <w:rPr>
          <w:rFonts w:ascii="Arial" w:hAnsi="Arial" w:cs="Arial"/>
          <w:b/>
        </w:rPr>
      </w:pPr>
    </w:p>
    <w:p w:rsidR="004A41AB" w:rsidRDefault="004A41AB" w:rsidP="005D524D">
      <w:pPr>
        <w:spacing w:before="120" w:after="0" w:line="240" w:lineRule="auto"/>
        <w:rPr>
          <w:rFonts w:ascii="Arial" w:hAnsi="Arial" w:cs="Arial"/>
          <w:sz w:val="20"/>
        </w:rPr>
      </w:pPr>
      <w:r w:rsidRPr="004A41AB">
        <w:rPr>
          <w:rFonts w:ascii="Arial" w:hAnsi="Arial" w:cs="Arial"/>
          <w:b/>
        </w:rPr>
        <w:t>Gradu</w:t>
      </w:r>
      <w:r w:rsidRPr="00556450">
        <w:rPr>
          <w:rFonts w:ascii="Arial" w:hAnsi="Arial" w:cs="Arial"/>
          <w:b/>
        </w:rPr>
        <w:t>ate Programs</w:t>
      </w:r>
    </w:p>
    <w:p w:rsidR="004A41AB" w:rsidRDefault="005D0667" w:rsidP="005D524D">
      <w:pPr>
        <w:spacing w:before="120" w:after="0" w:line="240" w:lineRule="auto"/>
        <w:rPr>
          <w:rFonts w:ascii="Arial" w:hAnsi="Arial" w:cs="Arial"/>
          <w:sz w:val="20"/>
        </w:rPr>
      </w:pPr>
      <w:r>
        <w:rPr>
          <w:rFonts w:ascii="Arial" w:hAnsi="Arial" w:cs="Arial"/>
          <w:sz w:val="20"/>
        </w:rPr>
        <w:t>The Master of Arts and Master of Business Administration programs attract different students and have different degree-completion times.  See graphs 5 and 6 for the 1</w:t>
      </w:r>
      <w:r w:rsidRPr="005D0667">
        <w:rPr>
          <w:rFonts w:ascii="Arial" w:hAnsi="Arial" w:cs="Arial"/>
          <w:sz w:val="20"/>
          <w:vertAlign w:val="superscript"/>
        </w:rPr>
        <w:t>st</w:t>
      </w:r>
      <w:r>
        <w:rPr>
          <w:rFonts w:ascii="Arial" w:hAnsi="Arial" w:cs="Arial"/>
          <w:sz w:val="20"/>
        </w:rPr>
        <w:t xml:space="preserve"> to 3</w:t>
      </w:r>
      <w:r w:rsidRPr="005D0667">
        <w:rPr>
          <w:rFonts w:ascii="Arial" w:hAnsi="Arial" w:cs="Arial"/>
          <w:sz w:val="20"/>
          <w:vertAlign w:val="superscript"/>
        </w:rPr>
        <w:t>rd</w:t>
      </w:r>
      <w:r>
        <w:rPr>
          <w:rFonts w:ascii="Arial" w:hAnsi="Arial" w:cs="Arial"/>
          <w:sz w:val="20"/>
        </w:rPr>
        <w:t xml:space="preserve"> semester retention by cohort al</w:t>
      </w:r>
      <w:r w:rsidR="00FE3E00">
        <w:rPr>
          <w:rFonts w:ascii="Arial" w:hAnsi="Arial" w:cs="Arial"/>
          <w:sz w:val="20"/>
        </w:rPr>
        <w:t xml:space="preserve">ong with the graduation rates.  As with the post-traditional undergraduate population, it is difficult to find retention and graduation rates for graduate programs which can be used for benchmarking and comparison purposes.  Despite our lack of comparisons, we do think that our retention and graduation rates for both our MA and MBA are good.  Similarly to the undergraduates, we also know that </w:t>
      </w:r>
      <w:r w:rsidR="0024789D">
        <w:rPr>
          <w:rFonts w:ascii="Arial" w:hAnsi="Arial" w:cs="Arial"/>
          <w:sz w:val="20"/>
        </w:rPr>
        <w:t xml:space="preserve">if a student does leave one of our graduate programs and decides to complete their degree at a later date, they overwhelming decide to return to the University of Redlands.  </w:t>
      </w:r>
    </w:p>
    <w:p w:rsidR="00C43864" w:rsidRDefault="00C30DCB" w:rsidP="005D524D">
      <w:pPr>
        <w:spacing w:before="120" w:after="0" w:line="240" w:lineRule="auto"/>
        <w:rPr>
          <w:rFonts w:ascii="Arial" w:hAnsi="Arial" w:cs="Arial"/>
          <w:sz w:val="20"/>
        </w:rPr>
      </w:pPr>
      <w:r>
        <w:rPr>
          <w:rFonts w:ascii="Arial" w:hAnsi="Arial" w:cs="Arial"/>
          <w:sz w:val="20"/>
        </w:rPr>
        <w:t>See the</w:t>
      </w:r>
      <w:r w:rsidR="00FE3E00">
        <w:rPr>
          <w:rFonts w:ascii="Arial" w:hAnsi="Arial" w:cs="Arial"/>
          <w:sz w:val="20"/>
        </w:rPr>
        <w:t xml:space="preserve"> graphs below for these rates. </w:t>
      </w:r>
    </w:p>
    <w:p w:rsidR="003B31A2" w:rsidRDefault="003B31A2" w:rsidP="005D524D">
      <w:pPr>
        <w:spacing w:before="120" w:after="0" w:line="240" w:lineRule="auto"/>
        <w:rPr>
          <w:rFonts w:ascii="Arial" w:hAnsi="Arial" w:cs="Arial"/>
          <w:b/>
          <w:sz w:val="20"/>
        </w:rPr>
      </w:pPr>
    </w:p>
    <w:p w:rsidR="00B44084" w:rsidRPr="00B44084" w:rsidRDefault="00B44084" w:rsidP="005D524D">
      <w:pPr>
        <w:spacing w:before="120" w:after="0" w:line="240" w:lineRule="auto"/>
        <w:rPr>
          <w:rFonts w:ascii="Arial" w:hAnsi="Arial" w:cs="Arial"/>
          <w:b/>
          <w:sz w:val="20"/>
        </w:rPr>
      </w:pPr>
      <w:r w:rsidRPr="00B44084">
        <w:rPr>
          <w:rFonts w:ascii="Arial" w:hAnsi="Arial" w:cs="Arial"/>
          <w:b/>
          <w:sz w:val="20"/>
        </w:rPr>
        <w:t>Graph 5:  Master of Arts Retention &amp; Graduation Rates</w:t>
      </w:r>
    </w:p>
    <w:p w:rsidR="00B44084" w:rsidRDefault="00AF10E0" w:rsidP="00B44084">
      <w:pPr>
        <w:spacing w:before="120" w:after="0" w:line="240" w:lineRule="auto"/>
        <w:jc w:val="center"/>
        <w:rPr>
          <w:rFonts w:ascii="Arial" w:hAnsi="Arial" w:cs="Arial"/>
          <w:sz w:val="20"/>
        </w:rPr>
      </w:pPr>
      <w:r>
        <w:rPr>
          <w:noProof/>
        </w:rPr>
        <w:drawing>
          <wp:inline distT="0" distB="0" distL="0" distR="0" wp14:anchorId="465270FE" wp14:editId="4CA4D3BC">
            <wp:extent cx="6819900" cy="26479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BBF" w:rsidRPr="006A2C39" w:rsidRDefault="006A2C39" w:rsidP="005D524D">
      <w:pPr>
        <w:spacing w:before="120" w:after="0" w:line="240" w:lineRule="auto"/>
        <w:rPr>
          <w:rFonts w:ascii="Arial" w:hAnsi="Arial" w:cs="Arial"/>
          <w:b/>
          <w:i/>
          <w:sz w:val="16"/>
        </w:rPr>
      </w:pPr>
      <w:r>
        <w:rPr>
          <w:rFonts w:ascii="Arial" w:hAnsi="Arial" w:cs="Arial"/>
          <w:i/>
          <w:sz w:val="16"/>
        </w:rPr>
        <w:t>The</w:t>
      </w:r>
      <w:r w:rsidRPr="006A2C39">
        <w:rPr>
          <w:rFonts w:ascii="Arial" w:hAnsi="Arial" w:cs="Arial"/>
          <w:i/>
          <w:sz w:val="16"/>
        </w:rPr>
        <w:t xml:space="preserve"> Fall 2008 cohort’s retention rates are lower than each cohort’s subsequent graduation rates.  This is because students who are on the equivalent of a leave of absence at the census date of their third semester are not counted as retained.  If the student returns at a later time, they are counted in their original cohort for graduation rates.</w:t>
      </w:r>
    </w:p>
    <w:p w:rsidR="006A2C39" w:rsidRDefault="006A2C39" w:rsidP="005D524D">
      <w:pPr>
        <w:spacing w:before="120" w:after="0" w:line="240" w:lineRule="auto"/>
        <w:rPr>
          <w:rFonts w:ascii="Arial" w:hAnsi="Arial" w:cs="Arial"/>
          <w:b/>
          <w:sz w:val="20"/>
        </w:rPr>
      </w:pPr>
    </w:p>
    <w:p w:rsidR="003B31A2" w:rsidRDefault="003B31A2" w:rsidP="005D524D">
      <w:pPr>
        <w:spacing w:before="120" w:after="0" w:line="240" w:lineRule="auto"/>
        <w:rPr>
          <w:rFonts w:ascii="Arial" w:hAnsi="Arial" w:cs="Arial"/>
          <w:b/>
          <w:sz w:val="20"/>
        </w:rPr>
      </w:pPr>
    </w:p>
    <w:p w:rsidR="003B31A2" w:rsidRDefault="003B31A2" w:rsidP="005D524D">
      <w:pPr>
        <w:spacing w:before="120" w:after="0" w:line="240" w:lineRule="auto"/>
        <w:rPr>
          <w:rFonts w:ascii="Arial" w:hAnsi="Arial" w:cs="Arial"/>
          <w:b/>
          <w:sz w:val="20"/>
        </w:rPr>
      </w:pPr>
    </w:p>
    <w:p w:rsidR="003B31A2" w:rsidRDefault="003B31A2" w:rsidP="005D524D">
      <w:pPr>
        <w:spacing w:before="120" w:after="0" w:line="240" w:lineRule="auto"/>
        <w:rPr>
          <w:rFonts w:ascii="Arial" w:hAnsi="Arial" w:cs="Arial"/>
          <w:b/>
          <w:sz w:val="20"/>
        </w:rPr>
      </w:pPr>
    </w:p>
    <w:p w:rsidR="00B44084" w:rsidRDefault="004D7BBF" w:rsidP="005D524D">
      <w:pPr>
        <w:spacing w:before="120" w:after="0" w:line="240" w:lineRule="auto"/>
        <w:rPr>
          <w:rFonts w:ascii="Arial" w:hAnsi="Arial" w:cs="Arial"/>
          <w:sz w:val="20"/>
        </w:rPr>
      </w:pPr>
      <w:r>
        <w:rPr>
          <w:rFonts w:ascii="Arial" w:hAnsi="Arial" w:cs="Arial"/>
          <w:b/>
          <w:sz w:val="20"/>
        </w:rPr>
        <w:t>Graph 6</w:t>
      </w:r>
      <w:r w:rsidRPr="00B44084">
        <w:rPr>
          <w:rFonts w:ascii="Arial" w:hAnsi="Arial" w:cs="Arial"/>
          <w:b/>
          <w:sz w:val="20"/>
        </w:rPr>
        <w:t xml:space="preserve">:  </w:t>
      </w:r>
      <w:r w:rsidR="00BC04EF">
        <w:rPr>
          <w:rFonts w:ascii="Arial" w:hAnsi="Arial" w:cs="Arial"/>
          <w:b/>
          <w:sz w:val="20"/>
        </w:rPr>
        <w:t>MBA</w:t>
      </w:r>
      <w:r w:rsidRPr="00B44084">
        <w:rPr>
          <w:rFonts w:ascii="Arial" w:hAnsi="Arial" w:cs="Arial"/>
          <w:b/>
          <w:sz w:val="20"/>
        </w:rPr>
        <w:t xml:space="preserve"> Retention &amp; Graduation Rates</w:t>
      </w:r>
    </w:p>
    <w:p w:rsidR="004D7BBF" w:rsidRDefault="00AF10E0" w:rsidP="00BC04EF">
      <w:pPr>
        <w:spacing w:before="120" w:after="0" w:line="240" w:lineRule="auto"/>
        <w:jc w:val="center"/>
        <w:rPr>
          <w:rFonts w:ascii="Arial" w:hAnsi="Arial" w:cs="Arial"/>
          <w:sz w:val="20"/>
        </w:rPr>
      </w:pPr>
      <w:r>
        <w:rPr>
          <w:noProof/>
        </w:rPr>
        <w:drawing>
          <wp:inline distT="0" distB="0" distL="0" distR="0" wp14:anchorId="7C84D014" wp14:editId="2208BC97">
            <wp:extent cx="6798734" cy="2870200"/>
            <wp:effectExtent l="0" t="0" r="2159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2C39" w:rsidRPr="006A2C39" w:rsidRDefault="006A2C39" w:rsidP="005D524D">
      <w:pPr>
        <w:spacing w:before="120" w:after="0" w:line="240" w:lineRule="auto"/>
        <w:rPr>
          <w:rFonts w:ascii="Arial" w:hAnsi="Arial" w:cs="Arial"/>
          <w:i/>
          <w:sz w:val="16"/>
        </w:rPr>
      </w:pPr>
      <w:r w:rsidRPr="006A2C39">
        <w:rPr>
          <w:rFonts w:ascii="Arial" w:hAnsi="Arial" w:cs="Arial"/>
          <w:i/>
          <w:sz w:val="16"/>
        </w:rPr>
        <w:t>The Fall 2010 cohort’s retention rates are lower than each cohort’s subsequent graduation rates.  This is because students who are on the equivalent of a leave of absence at the census date of their third semester are not counted as retained.  If the student returns at a later time, they are counted in their original cohort for graduation rates.</w:t>
      </w:r>
    </w:p>
    <w:p w:rsidR="00112469" w:rsidRDefault="00112469" w:rsidP="005D524D">
      <w:pPr>
        <w:spacing w:before="120" w:after="0" w:line="240" w:lineRule="auto"/>
        <w:rPr>
          <w:rFonts w:ascii="Arial" w:hAnsi="Arial" w:cs="Arial"/>
          <w:sz w:val="20"/>
        </w:rPr>
      </w:pPr>
    </w:p>
    <w:p w:rsidR="00BC04EF" w:rsidRDefault="003B31A2" w:rsidP="005D524D">
      <w:pPr>
        <w:spacing w:before="120" w:after="0" w:line="240" w:lineRule="auto"/>
        <w:rPr>
          <w:rFonts w:ascii="Arial" w:hAnsi="Arial" w:cs="Arial"/>
          <w:sz w:val="20"/>
        </w:rPr>
      </w:pPr>
      <w:r>
        <w:rPr>
          <w:rFonts w:ascii="Arial" w:hAnsi="Arial" w:cs="Arial"/>
          <w:sz w:val="20"/>
        </w:rPr>
        <w:t xml:space="preserve">We also look at these rates by gender and by race / ethnicity.  While there seems to be a significant difference in graduation rates between men and women, over time this gap closes because women are taking longer to complete their degrees.  </w:t>
      </w:r>
      <w:r w:rsidR="00F467AE">
        <w:rPr>
          <w:rFonts w:ascii="Arial" w:hAnsi="Arial" w:cs="Arial"/>
          <w:sz w:val="20"/>
        </w:rPr>
        <w:t xml:space="preserve">We’ve also noted that there appears to be opportunities to improve the graduation rates of some sub-populations.  While there are opportunities, some of these sub-populations are comparatively small so a few students who are not retained or don’t graduate can have a significant impact on the rates.  </w:t>
      </w:r>
    </w:p>
    <w:p w:rsidR="003B31A2" w:rsidRDefault="003B31A2" w:rsidP="005D524D">
      <w:pPr>
        <w:spacing w:before="120" w:after="0" w:line="240" w:lineRule="auto"/>
        <w:rPr>
          <w:rFonts w:ascii="Arial" w:hAnsi="Arial" w:cs="Arial"/>
          <w:b/>
          <w:sz w:val="20"/>
        </w:rPr>
      </w:pPr>
    </w:p>
    <w:p w:rsidR="00420542" w:rsidRPr="00420542" w:rsidRDefault="00420542" w:rsidP="005D524D">
      <w:pPr>
        <w:spacing w:before="120" w:after="0" w:line="240" w:lineRule="auto"/>
        <w:rPr>
          <w:rFonts w:ascii="Arial" w:hAnsi="Arial" w:cs="Arial"/>
          <w:b/>
          <w:sz w:val="20"/>
        </w:rPr>
      </w:pPr>
      <w:r w:rsidRPr="00420542">
        <w:rPr>
          <w:rFonts w:ascii="Arial" w:hAnsi="Arial" w:cs="Arial"/>
          <w:b/>
          <w:sz w:val="20"/>
        </w:rPr>
        <w:t xml:space="preserve">Graph 7:  </w:t>
      </w:r>
      <w:r w:rsidR="0024789D">
        <w:rPr>
          <w:rFonts w:ascii="Arial" w:hAnsi="Arial" w:cs="Arial"/>
          <w:b/>
          <w:sz w:val="20"/>
        </w:rPr>
        <w:t>Graduate Graduation Rate by Gender</w:t>
      </w:r>
    </w:p>
    <w:p w:rsidR="00294412" w:rsidRDefault="0024789D" w:rsidP="005D524D">
      <w:pPr>
        <w:spacing w:before="120" w:after="0" w:line="240" w:lineRule="auto"/>
        <w:rPr>
          <w:rFonts w:ascii="Arial" w:hAnsi="Arial" w:cs="Arial"/>
          <w:sz w:val="20"/>
        </w:rPr>
      </w:pPr>
      <w:r>
        <w:rPr>
          <w:noProof/>
        </w:rPr>
        <w:drawing>
          <wp:inline distT="0" distB="0" distL="0" distR="0" wp14:anchorId="54B6EB7F" wp14:editId="43546569">
            <wp:extent cx="6943725" cy="24479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7A86" w:rsidRDefault="00B87A86" w:rsidP="00420542">
      <w:pPr>
        <w:spacing w:before="120" w:after="0" w:line="240" w:lineRule="auto"/>
        <w:rPr>
          <w:rFonts w:ascii="Arial" w:hAnsi="Arial" w:cs="Arial"/>
          <w:b/>
          <w:sz w:val="20"/>
        </w:rPr>
      </w:pPr>
    </w:p>
    <w:p w:rsidR="00F467AE" w:rsidRDefault="00F467AE" w:rsidP="00420542">
      <w:pPr>
        <w:spacing w:before="120" w:after="0" w:line="240" w:lineRule="auto"/>
        <w:rPr>
          <w:rFonts w:ascii="Arial" w:hAnsi="Arial" w:cs="Arial"/>
          <w:b/>
          <w:sz w:val="20"/>
        </w:rPr>
      </w:pPr>
    </w:p>
    <w:p w:rsidR="00F467AE" w:rsidRDefault="00F467AE" w:rsidP="00420542">
      <w:pPr>
        <w:spacing w:before="120" w:after="0" w:line="240" w:lineRule="auto"/>
        <w:rPr>
          <w:rFonts w:ascii="Arial" w:hAnsi="Arial" w:cs="Arial"/>
          <w:b/>
          <w:sz w:val="20"/>
        </w:rPr>
      </w:pPr>
    </w:p>
    <w:p w:rsidR="00F467AE" w:rsidRDefault="00F467AE" w:rsidP="00420542">
      <w:pPr>
        <w:spacing w:before="120" w:after="0" w:line="240" w:lineRule="auto"/>
        <w:rPr>
          <w:rFonts w:ascii="Arial" w:hAnsi="Arial" w:cs="Arial"/>
          <w:b/>
          <w:sz w:val="20"/>
        </w:rPr>
      </w:pPr>
    </w:p>
    <w:p w:rsidR="00F467AE" w:rsidRDefault="00F467AE" w:rsidP="00420542">
      <w:pPr>
        <w:spacing w:before="120" w:after="0" w:line="240" w:lineRule="auto"/>
        <w:rPr>
          <w:rFonts w:ascii="Arial" w:hAnsi="Arial" w:cs="Arial"/>
          <w:b/>
          <w:sz w:val="20"/>
        </w:rPr>
      </w:pPr>
    </w:p>
    <w:p w:rsidR="00F467AE" w:rsidRDefault="00F467AE" w:rsidP="00420542">
      <w:pPr>
        <w:spacing w:before="120" w:after="0" w:line="240" w:lineRule="auto"/>
        <w:rPr>
          <w:rFonts w:ascii="Arial" w:hAnsi="Arial" w:cs="Arial"/>
          <w:b/>
          <w:sz w:val="20"/>
        </w:rPr>
      </w:pPr>
    </w:p>
    <w:p w:rsidR="00420542" w:rsidRPr="004A41AB" w:rsidRDefault="00420542" w:rsidP="00420542">
      <w:pPr>
        <w:spacing w:before="120" w:after="0" w:line="240" w:lineRule="auto"/>
        <w:rPr>
          <w:rFonts w:ascii="Arial" w:hAnsi="Arial" w:cs="Arial"/>
          <w:b/>
          <w:sz w:val="20"/>
        </w:rPr>
      </w:pPr>
      <w:r w:rsidRPr="004A41AB">
        <w:rPr>
          <w:rFonts w:ascii="Arial" w:hAnsi="Arial" w:cs="Arial"/>
          <w:b/>
          <w:sz w:val="20"/>
        </w:rPr>
        <w:t xml:space="preserve">Graph </w:t>
      </w:r>
      <w:r>
        <w:rPr>
          <w:rFonts w:ascii="Arial" w:hAnsi="Arial" w:cs="Arial"/>
          <w:b/>
          <w:sz w:val="20"/>
        </w:rPr>
        <w:t>8</w:t>
      </w:r>
      <w:r w:rsidRPr="004A41AB">
        <w:rPr>
          <w:rFonts w:ascii="Arial" w:hAnsi="Arial" w:cs="Arial"/>
          <w:b/>
          <w:sz w:val="20"/>
        </w:rPr>
        <w:t xml:space="preserve">:  </w:t>
      </w:r>
      <w:r w:rsidR="0024789D">
        <w:rPr>
          <w:rFonts w:ascii="Arial" w:hAnsi="Arial" w:cs="Arial"/>
          <w:b/>
          <w:sz w:val="20"/>
        </w:rPr>
        <w:t>Graduate Graduation Rate by Race / Ethnicity</w:t>
      </w:r>
    </w:p>
    <w:p w:rsidR="00294412" w:rsidRDefault="0024789D" w:rsidP="005D524D">
      <w:pPr>
        <w:spacing w:before="120" w:after="0" w:line="240" w:lineRule="auto"/>
        <w:rPr>
          <w:rFonts w:ascii="Arial" w:hAnsi="Arial" w:cs="Arial"/>
          <w:sz w:val="20"/>
        </w:rPr>
      </w:pPr>
      <w:r>
        <w:rPr>
          <w:noProof/>
        </w:rPr>
        <w:drawing>
          <wp:inline distT="0" distB="0" distL="0" distR="0" wp14:anchorId="1B02887B" wp14:editId="27C25D85">
            <wp:extent cx="7029450" cy="28670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DCB" w:rsidRDefault="00C30DCB" w:rsidP="005D524D">
      <w:pPr>
        <w:spacing w:before="120" w:after="0" w:line="240" w:lineRule="auto"/>
        <w:rPr>
          <w:rFonts w:ascii="Arial" w:hAnsi="Arial" w:cs="Arial"/>
          <w:sz w:val="20"/>
        </w:rPr>
      </w:pPr>
    </w:p>
    <w:p w:rsidR="00BC04EF" w:rsidRDefault="00BC04EF" w:rsidP="005D524D">
      <w:pPr>
        <w:spacing w:before="120" w:after="0" w:line="240" w:lineRule="auto"/>
        <w:rPr>
          <w:rFonts w:ascii="Arial" w:hAnsi="Arial" w:cs="Arial"/>
          <w:sz w:val="20"/>
        </w:rPr>
      </w:pPr>
    </w:p>
    <w:p w:rsidR="00BC04EF" w:rsidRDefault="00947F23" w:rsidP="00BC04EF">
      <w:pPr>
        <w:spacing w:before="120" w:after="0" w:line="240" w:lineRule="auto"/>
        <w:rPr>
          <w:rFonts w:ascii="Arial" w:hAnsi="Arial" w:cs="Arial"/>
          <w:b/>
          <w:sz w:val="20"/>
        </w:rPr>
      </w:pPr>
      <w:r>
        <w:rPr>
          <w:rFonts w:ascii="Arial" w:hAnsi="Arial" w:cs="Arial"/>
          <w:b/>
          <w:sz w:val="20"/>
        </w:rPr>
        <w:t>Next Steps</w:t>
      </w:r>
    </w:p>
    <w:p w:rsidR="00947F23" w:rsidRPr="00947F23" w:rsidRDefault="00947F23" w:rsidP="00BC04EF">
      <w:pPr>
        <w:spacing w:before="120" w:after="0" w:line="240" w:lineRule="auto"/>
        <w:rPr>
          <w:rFonts w:ascii="Arial" w:hAnsi="Arial" w:cs="Arial"/>
          <w:sz w:val="20"/>
        </w:rPr>
      </w:pPr>
      <w:r w:rsidRPr="00947F23">
        <w:rPr>
          <w:rFonts w:ascii="Arial" w:hAnsi="Arial" w:cs="Arial"/>
          <w:sz w:val="20"/>
        </w:rPr>
        <w:t xml:space="preserve">The School of Business Retention and Graduation Rate Working </w:t>
      </w:r>
      <w:r>
        <w:rPr>
          <w:rFonts w:ascii="Arial" w:hAnsi="Arial" w:cs="Arial"/>
          <w:sz w:val="20"/>
        </w:rPr>
        <w:t xml:space="preserve">meets monthly.  We are actively engaged in looking at opportunities to improve our services to students and increase our students’ success.  With a combination of administrators and faculty, we are trying to approach these opportunities in a balance manner with sensitivity to the impact on both our organization and on the students. </w:t>
      </w:r>
      <w:r w:rsidR="00B87A86">
        <w:rPr>
          <w:rFonts w:ascii="Arial" w:hAnsi="Arial" w:cs="Arial"/>
          <w:sz w:val="20"/>
        </w:rPr>
        <w:t xml:space="preserve">Please feel free to contact a member of the group if you have any questions or recommendations.  </w:t>
      </w:r>
    </w:p>
    <w:p w:rsidR="00BC04EF" w:rsidRDefault="00BC04EF" w:rsidP="005D524D">
      <w:pPr>
        <w:spacing w:before="120" w:after="0" w:line="240" w:lineRule="auto"/>
        <w:rPr>
          <w:rFonts w:ascii="Arial" w:hAnsi="Arial" w:cs="Arial"/>
          <w:sz w:val="20"/>
        </w:rPr>
      </w:pPr>
    </w:p>
    <w:p w:rsidR="00BC04EF" w:rsidRDefault="00BC04EF" w:rsidP="005D524D">
      <w:pPr>
        <w:spacing w:before="120" w:after="0" w:line="240" w:lineRule="auto"/>
        <w:rPr>
          <w:rFonts w:ascii="Arial" w:hAnsi="Arial" w:cs="Arial"/>
          <w:sz w:val="20"/>
        </w:rPr>
      </w:pPr>
    </w:p>
    <w:p w:rsidR="00112469" w:rsidRDefault="00112469" w:rsidP="005D524D">
      <w:pPr>
        <w:spacing w:before="120" w:after="0" w:line="240" w:lineRule="auto"/>
        <w:rPr>
          <w:rFonts w:ascii="Arial" w:hAnsi="Arial" w:cs="Arial"/>
          <w:sz w:val="20"/>
        </w:rPr>
      </w:pPr>
      <w:r>
        <w:rPr>
          <w:rFonts w:ascii="Arial" w:hAnsi="Arial" w:cs="Arial"/>
          <w:sz w:val="20"/>
        </w:rPr>
        <w:br w:type="page"/>
      </w:r>
    </w:p>
    <w:p w:rsidR="00C004B6" w:rsidRDefault="00C004B6" w:rsidP="005D524D">
      <w:pPr>
        <w:spacing w:before="120" w:after="0" w:line="240" w:lineRule="auto"/>
        <w:rPr>
          <w:rFonts w:ascii="Arial" w:hAnsi="Arial" w:cs="Arial"/>
          <w:sz w:val="20"/>
        </w:rPr>
      </w:pPr>
    </w:p>
    <w:p w:rsidR="00C004B6" w:rsidRPr="00F467AE" w:rsidRDefault="00C004B6" w:rsidP="005D524D">
      <w:pPr>
        <w:spacing w:before="120" w:after="0" w:line="240" w:lineRule="auto"/>
        <w:rPr>
          <w:rFonts w:ascii="Arial" w:hAnsi="Arial" w:cs="Arial"/>
          <w:b/>
        </w:rPr>
      </w:pPr>
      <w:r w:rsidRPr="00F467AE">
        <w:rPr>
          <w:rFonts w:ascii="Arial" w:hAnsi="Arial" w:cs="Arial"/>
          <w:b/>
        </w:rPr>
        <w:t>References</w:t>
      </w:r>
    </w:p>
    <w:p w:rsidR="00747827" w:rsidRDefault="00747827" w:rsidP="005D524D">
      <w:pPr>
        <w:spacing w:before="120" w:after="0" w:line="240" w:lineRule="auto"/>
        <w:rPr>
          <w:rFonts w:ascii="Arial" w:hAnsi="Arial" w:cs="Arial"/>
          <w:sz w:val="20"/>
        </w:rPr>
      </w:pPr>
      <w:r>
        <w:rPr>
          <w:rFonts w:ascii="Arial" w:hAnsi="Arial" w:cs="Arial"/>
          <w:sz w:val="20"/>
        </w:rPr>
        <w:t xml:space="preserve">California State University – Los Angeles.  </w:t>
      </w:r>
      <w:r w:rsidRPr="00C004B6">
        <w:rPr>
          <w:rFonts w:ascii="Arial" w:hAnsi="Arial" w:cs="Arial"/>
          <w:i/>
          <w:sz w:val="20"/>
        </w:rPr>
        <w:t>College Navigator</w:t>
      </w:r>
      <w:r>
        <w:rPr>
          <w:rFonts w:ascii="Arial" w:hAnsi="Arial" w:cs="Arial"/>
          <w:sz w:val="20"/>
        </w:rPr>
        <w:t>.  Retrieved January 23</w:t>
      </w:r>
      <w:r w:rsidRPr="00C004B6">
        <w:rPr>
          <w:rFonts w:ascii="Arial" w:hAnsi="Arial" w:cs="Arial"/>
          <w:sz w:val="20"/>
          <w:vertAlign w:val="superscript"/>
        </w:rPr>
        <w:t>rd</w:t>
      </w:r>
      <w:r>
        <w:rPr>
          <w:rFonts w:ascii="Arial" w:hAnsi="Arial" w:cs="Arial"/>
          <w:sz w:val="20"/>
        </w:rPr>
        <w:t xml:space="preserve">, 2014 from </w:t>
      </w:r>
      <w:hyperlink r:id="rId17" w:anchor="retgrad" w:history="1">
        <w:r w:rsidRPr="006C23FE">
          <w:rPr>
            <w:rStyle w:val="Hyperlink"/>
            <w:rFonts w:ascii="Arial" w:hAnsi="Arial" w:cs="Arial"/>
            <w:sz w:val="20"/>
          </w:rPr>
          <w:t>http://nces.ed.gov/collegenavigator/?q=california+state+los&amp;s=all&amp;md=1&amp;id=110592#retgrad</w:t>
        </w:r>
      </w:hyperlink>
      <w:r>
        <w:rPr>
          <w:rFonts w:ascii="Arial" w:hAnsi="Arial" w:cs="Arial"/>
          <w:sz w:val="20"/>
        </w:rPr>
        <w:t xml:space="preserve"> </w:t>
      </w:r>
    </w:p>
    <w:p w:rsidR="00747827" w:rsidRDefault="00747827" w:rsidP="005D524D">
      <w:pPr>
        <w:spacing w:before="120" w:after="0" w:line="240" w:lineRule="auto"/>
        <w:rPr>
          <w:rFonts w:ascii="Arial" w:hAnsi="Arial" w:cs="Arial"/>
          <w:sz w:val="20"/>
        </w:rPr>
      </w:pPr>
    </w:p>
    <w:p w:rsidR="00C004B6" w:rsidRPr="004A41AB" w:rsidRDefault="00C004B6" w:rsidP="005D524D">
      <w:pPr>
        <w:spacing w:before="120" w:after="0" w:line="240" w:lineRule="auto"/>
        <w:rPr>
          <w:rFonts w:ascii="Arial" w:hAnsi="Arial" w:cs="Arial"/>
          <w:sz w:val="20"/>
        </w:rPr>
      </w:pPr>
      <w:r>
        <w:rPr>
          <w:rFonts w:ascii="Arial" w:hAnsi="Arial" w:cs="Arial"/>
          <w:sz w:val="20"/>
        </w:rPr>
        <w:t xml:space="preserve">California State </w:t>
      </w:r>
      <w:r w:rsidR="00747827">
        <w:rPr>
          <w:rFonts w:ascii="Arial" w:hAnsi="Arial" w:cs="Arial"/>
          <w:sz w:val="20"/>
        </w:rPr>
        <w:t>University</w:t>
      </w:r>
      <w:r>
        <w:rPr>
          <w:rFonts w:ascii="Arial" w:hAnsi="Arial" w:cs="Arial"/>
          <w:sz w:val="20"/>
        </w:rPr>
        <w:t xml:space="preserve"> – San Bernardino.  </w:t>
      </w:r>
      <w:r w:rsidRPr="00C004B6">
        <w:rPr>
          <w:rFonts w:ascii="Arial" w:hAnsi="Arial" w:cs="Arial"/>
          <w:i/>
          <w:sz w:val="20"/>
        </w:rPr>
        <w:t>College Navigator</w:t>
      </w:r>
      <w:r>
        <w:rPr>
          <w:rFonts w:ascii="Arial" w:hAnsi="Arial" w:cs="Arial"/>
          <w:sz w:val="20"/>
        </w:rPr>
        <w:t>.  Retrieved January 23</w:t>
      </w:r>
      <w:r w:rsidRPr="00C004B6">
        <w:rPr>
          <w:rFonts w:ascii="Arial" w:hAnsi="Arial" w:cs="Arial"/>
          <w:sz w:val="20"/>
          <w:vertAlign w:val="superscript"/>
        </w:rPr>
        <w:t>rd</w:t>
      </w:r>
      <w:r>
        <w:rPr>
          <w:rFonts w:ascii="Arial" w:hAnsi="Arial" w:cs="Arial"/>
          <w:sz w:val="20"/>
        </w:rPr>
        <w:t xml:space="preserve">, 2014 from </w:t>
      </w:r>
      <w:hyperlink r:id="rId18" w:anchor="retgrad" w:history="1">
        <w:r w:rsidRPr="006C23FE">
          <w:rPr>
            <w:rStyle w:val="Hyperlink"/>
            <w:rFonts w:ascii="Arial" w:hAnsi="Arial" w:cs="Arial"/>
            <w:sz w:val="20"/>
          </w:rPr>
          <w:t>http://nces.ed.gov/collegenavigator/?q=california+state+san+bernardino&amp;s=all&amp;id=110510#retgrad</w:t>
        </w:r>
      </w:hyperlink>
      <w:r>
        <w:rPr>
          <w:rFonts w:ascii="Arial" w:hAnsi="Arial" w:cs="Arial"/>
          <w:sz w:val="20"/>
        </w:rPr>
        <w:t xml:space="preserve">.  </w:t>
      </w:r>
    </w:p>
    <w:sectPr w:rsidR="00C004B6" w:rsidRPr="004A41AB" w:rsidSect="005717B8">
      <w:headerReference w:type="default" r:id="rId19"/>
      <w:footerReference w:type="default" r:id="rId20"/>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5B" w:rsidRDefault="00D6115B" w:rsidP="009D788C">
      <w:pPr>
        <w:spacing w:after="0" w:line="240" w:lineRule="auto"/>
      </w:pPr>
      <w:r>
        <w:separator/>
      </w:r>
    </w:p>
  </w:endnote>
  <w:endnote w:type="continuationSeparator" w:id="0">
    <w:p w:rsidR="00D6115B" w:rsidRDefault="00D6115B" w:rsidP="009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5B" w:rsidRDefault="00D6115B">
    <w:pPr>
      <w:pStyle w:val="Footer"/>
      <w:pBdr>
        <w:top w:val="thinThickSmallGap" w:sz="24" w:space="1" w:color="622423" w:themeColor="accent2" w:themeShade="7F"/>
      </w:pBdr>
      <w:rPr>
        <w:rFonts w:asciiTheme="majorHAnsi" w:hAnsiTheme="majorHAnsi"/>
      </w:rPr>
    </w:pPr>
    <w:r>
      <w:rPr>
        <w:rFonts w:asciiTheme="majorHAnsi" w:hAnsiTheme="majorHAnsi"/>
      </w:rPr>
      <w:t>Institutional Research</w:t>
    </w:r>
    <w:r>
      <w:rPr>
        <w:rFonts w:asciiTheme="majorHAnsi" w:hAnsiTheme="majorHAnsi"/>
      </w:rPr>
      <w:ptab w:relativeTo="margin" w:alignment="right" w:leader="none"/>
    </w:r>
    <w:r>
      <w:rPr>
        <w:rFonts w:asciiTheme="majorHAnsi" w:hAnsiTheme="majorHAnsi"/>
      </w:rPr>
      <w:t xml:space="preserve">Page </w:t>
    </w:r>
    <w:r w:rsidR="00947F23">
      <w:fldChar w:fldCharType="begin"/>
    </w:r>
    <w:r w:rsidR="00947F23">
      <w:instrText xml:space="preserve"> PAGE   \* MERGEFORMAT </w:instrText>
    </w:r>
    <w:r w:rsidR="00947F23">
      <w:fldChar w:fldCharType="separate"/>
    </w:r>
    <w:r w:rsidR="00951643" w:rsidRPr="00951643">
      <w:rPr>
        <w:rFonts w:asciiTheme="majorHAnsi" w:hAnsiTheme="majorHAnsi"/>
        <w:noProof/>
      </w:rPr>
      <w:t>1</w:t>
    </w:r>
    <w:r w:rsidR="00947F23">
      <w:rPr>
        <w:rFonts w:asciiTheme="majorHAnsi" w:hAnsiTheme="majorHAnsi"/>
        <w:noProof/>
      </w:rPr>
      <w:fldChar w:fldCharType="end"/>
    </w:r>
  </w:p>
  <w:p w:rsidR="00D6115B" w:rsidRDefault="00D6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5B" w:rsidRDefault="00D6115B" w:rsidP="009D788C">
      <w:pPr>
        <w:spacing w:after="0" w:line="240" w:lineRule="auto"/>
      </w:pPr>
      <w:r>
        <w:separator/>
      </w:r>
    </w:p>
  </w:footnote>
  <w:footnote w:type="continuationSeparator" w:id="0">
    <w:p w:rsidR="00D6115B" w:rsidRDefault="00D6115B" w:rsidP="009D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5B" w:rsidRDefault="00D6115B">
    <w:pPr>
      <w:pStyle w:val="Header"/>
    </w:pPr>
    <w:r>
      <w:t>U of R Scanner</w:t>
    </w:r>
  </w:p>
  <w:p w:rsidR="00D6115B" w:rsidRDefault="00D6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02085"/>
    <w:multiLevelType w:val="hybridMultilevel"/>
    <w:tmpl w:val="AC5839C8"/>
    <w:lvl w:ilvl="0" w:tplc="AF0CCA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95"/>
    <w:rsid w:val="00041860"/>
    <w:rsid w:val="000470D6"/>
    <w:rsid w:val="000526C7"/>
    <w:rsid w:val="0009605F"/>
    <w:rsid w:val="000F12B3"/>
    <w:rsid w:val="00112469"/>
    <w:rsid w:val="00121070"/>
    <w:rsid w:val="001216D8"/>
    <w:rsid w:val="001230A0"/>
    <w:rsid w:val="00184236"/>
    <w:rsid w:val="00194724"/>
    <w:rsid w:val="001954AB"/>
    <w:rsid w:val="00224C6E"/>
    <w:rsid w:val="002476BF"/>
    <w:rsid w:val="0024789D"/>
    <w:rsid w:val="00294412"/>
    <w:rsid w:val="0035798C"/>
    <w:rsid w:val="003B31A2"/>
    <w:rsid w:val="003B3EF0"/>
    <w:rsid w:val="003C172A"/>
    <w:rsid w:val="00420542"/>
    <w:rsid w:val="00460362"/>
    <w:rsid w:val="004A41AB"/>
    <w:rsid w:val="004D7BBF"/>
    <w:rsid w:val="00543B2B"/>
    <w:rsid w:val="0055283A"/>
    <w:rsid w:val="00556450"/>
    <w:rsid w:val="005717B8"/>
    <w:rsid w:val="005C53FA"/>
    <w:rsid w:val="005D0667"/>
    <w:rsid w:val="005D46AF"/>
    <w:rsid w:val="005D524D"/>
    <w:rsid w:val="005E4DE6"/>
    <w:rsid w:val="00631638"/>
    <w:rsid w:val="00631DB3"/>
    <w:rsid w:val="00633C4A"/>
    <w:rsid w:val="00663083"/>
    <w:rsid w:val="00665575"/>
    <w:rsid w:val="00674423"/>
    <w:rsid w:val="006A2C39"/>
    <w:rsid w:val="006E6292"/>
    <w:rsid w:val="006F1C6A"/>
    <w:rsid w:val="006F4AE3"/>
    <w:rsid w:val="00747827"/>
    <w:rsid w:val="007C06CA"/>
    <w:rsid w:val="007D0D14"/>
    <w:rsid w:val="007D3F13"/>
    <w:rsid w:val="007F77A4"/>
    <w:rsid w:val="00800B40"/>
    <w:rsid w:val="008127C7"/>
    <w:rsid w:val="00824D56"/>
    <w:rsid w:val="00840EBE"/>
    <w:rsid w:val="00841ED8"/>
    <w:rsid w:val="00863A78"/>
    <w:rsid w:val="0089485C"/>
    <w:rsid w:val="008D6383"/>
    <w:rsid w:val="008F2C45"/>
    <w:rsid w:val="009409B4"/>
    <w:rsid w:val="00945395"/>
    <w:rsid w:val="00947F23"/>
    <w:rsid w:val="00951643"/>
    <w:rsid w:val="00952AE0"/>
    <w:rsid w:val="00956940"/>
    <w:rsid w:val="009569CD"/>
    <w:rsid w:val="00973DA4"/>
    <w:rsid w:val="009A412F"/>
    <w:rsid w:val="009D788C"/>
    <w:rsid w:val="009E3350"/>
    <w:rsid w:val="009E6269"/>
    <w:rsid w:val="00A0458A"/>
    <w:rsid w:val="00A14A71"/>
    <w:rsid w:val="00A205C2"/>
    <w:rsid w:val="00A46C36"/>
    <w:rsid w:val="00AA6500"/>
    <w:rsid w:val="00AC05B7"/>
    <w:rsid w:val="00AC548F"/>
    <w:rsid w:val="00AF10E0"/>
    <w:rsid w:val="00B44084"/>
    <w:rsid w:val="00B45CA2"/>
    <w:rsid w:val="00B554AA"/>
    <w:rsid w:val="00B87A86"/>
    <w:rsid w:val="00B9632B"/>
    <w:rsid w:val="00BC04EF"/>
    <w:rsid w:val="00BF37BE"/>
    <w:rsid w:val="00BF5830"/>
    <w:rsid w:val="00C004B6"/>
    <w:rsid w:val="00C30DCB"/>
    <w:rsid w:val="00C362BB"/>
    <w:rsid w:val="00C43864"/>
    <w:rsid w:val="00C7263D"/>
    <w:rsid w:val="00CC3095"/>
    <w:rsid w:val="00CE64D8"/>
    <w:rsid w:val="00CE69E1"/>
    <w:rsid w:val="00CF0345"/>
    <w:rsid w:val="00D022E6"/>
    <w:rsid w:val="00D6115B"/>
    <w:rsid w:val="00D61741"/>
    <w:rsid w:val="00DA2470"/>
    <w:rsid w:val="00DA3437"/>
    <w:rsid w:val="00DE0567"/>
    <w:rsid w:val="00E20F46"/>
    <w:rsid w:val="00E27A39"/>
    <w:rsid w:val="00E438D4"/>
    <w:rsid w:val="00E453A5"/>
    <w:rsid w:val="00EE0131"/>
    <w:rsid w:val="00EE4E70"/>
    <w:rsid w:val="00EF75C6"/>
    <w:rsid w:val="00F0062A"/>
    <w:rsid w:val="00F318A5"/>
    <w:rsid w:val="00F467AE"/>
    <w:rsid w:val="00FE1C00"/>
    <w:rsid w:val="00FE3E00"/>
    <w:rsid w:val="00FE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95"/>
    <w:pPr>
      <w:ind w:left="720"/>
      <w:contextualSpacing/>
    </w:pPr>
  </w:style>
  <w:style w:type="paragraph" w:styleId="BalloonText">
    <w:name w:val="Balloon Text"/>
    <w:basedOn w:val="Normal"/>
    <w:link w:val="BalloonTextChar"/>
    <w:uiPriority w:val="99"/>
    <w:semiHidden/>
    <w:unhideWhenUsed/>
    <w:rsid w:val="000F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B3"/>
    <w:rPr>
      <w:rFonts w:ascii="Tahoma" w:hAnsi="Tahoma" w:cs="Tahoma"/>
      <w:sz w:val="16"/>
      <w:szCs w:val="16"/>
    </w:rPr>
  </w:style>
  <w:style w:type="paragraph" w:styleId="Header">
    <w:name w:val="header"/>
    <w:basedOn w:val="Normal"/>
    <w:link w:val="HeaderChar"/>
    <w:uiPriority w:val="99"/>
    <w:unhideWhenUsed/>
    <w:rsid w:val="009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8C"/>
  </w:style>
  <w:style w:type="paragraph" w:styleId="Footer">
    <w:name w:val="footer"/>
    <w:basedOn w:val="Normal"/>
    <w:link w:val="FooterChar"/>
    <w:uiPriority w:val="99"/>
    <w:unhideWhenUsed/>
    <w:rsid w:val="009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8C"/>
  </w:style>
  <w:style w:type="character" w:styleId="Hyperlink">
    <w:name w:val="Hyperlink"/>
    <w:basedOn w:val="DefaultParagraphFont"/>
    <w:uiPriority w:val="99"/>
    <w:unhideWhenUsed/>
    <w:rsid w:val="00552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95"/>
    <w:pPr>
      <w:ind w:left="720"/>
      <w:contextualSpacing/>
    </w:pPr>
  </w:style>
  <w:style w:type="paragraph" w:styleId="BalloonText">
    <w:name w:val="Balloon Text"/>
    <w:basedOn w:val="Normal"/>
    <w:link w:val="BalloonTextChar"/>
    <w:uiPriority w:val="99"/>
    <w:semiHidden/>
    <w:unhideWhenUsed/>
    <w:rsid w:val="000F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B3"/>
    <w:rPr>
      <w:rFonts w:ascii="Tahoma" w:hAnsi="Tahoma" w:cs="Tahoma"/>
      <w:sz w:val="16"/>
      <w:szCs w:val="16"/>
    </w:rPr>
  </w:style>
  <w:style w:type="paragraph" w:styleId="Header">
    <w:name w:val="header"/>
    <w:basedOn w:val="Normal"/>
    <w:link w:val="HeaderChar"/>
    <w:uiPriority w:val="99"/>
    <w:unhideWhenUsed/>
    <w:rsid w:val="009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8C"/>
  </w:style>
  <w:style w:type="paragraph" w:styleId="Footer">
    <w:name w:val="footer"/>
    <w:basedOn w:val="Normal"/>
    <w:link w:val="FooterChar"/>
    <w:uiPriority w:val="99"/>
    <w:unhideWhenUsed/>
    <w:rsid w:val="009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8C"/>
  </w:style>
  <w:style w:type="character" w:styleId="Hyperlink">
    <w:name w:val="Hyperlink"/>
    <w:basedOn w:val="DefaultParagraphFont"/>
    <w:uiPriority w:val="99"/>
    <w:unhideWhenUsed/>
    <w:rsid w:val="00552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nces.ed.gov/collegenavigator/?q=california+state+san+bernardino&amp;s=all&amp;id=1105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nces.ed.gov/collegenavigator/?q=california+state+los&amp;s=all&amp;md=1&amp;id=110592"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ed-fs-01\businessfinance\Institutional%20Research\School%20of%20Business\SB%20Retention%20&amp;%20Grad%20Rates%20Stats%20Report%20October%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ed-fs-01\businessfinance\Institutional%20Research\School%20of%20Business\SB%20Retention%20&amp;%20Grad%20Rates%20Stats%20Report%20October%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ed-fs-01\businessfinance\Institutional%20Research\School%20of%20Business\SB%20Retention%20&amp;%20Grad%20Rates%20Stats%20Report%20October%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ed-fs-01\businessfinance\Institutional%20Research\School%20of%20Business\SB%20Retention%20&amp;%20Grad%20Rates%20Stats%20Report%20October%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3.2369211263846266E-2"/>
          <c:w val="0.90688224518810145"/>
          <c:h val="0.71531863072200719"/>
        </c:manualLayout>
      </c:layout>
      <c:barChart>
        <c:barDir val="col"/>
        <c:grouping val="clustered"/>
        <c:varyColors val="0"/>
        <c:ser>
          <c:idx val="0"/>
          <c:order val="0"/>
          <c:tx>
            <c:strRef>
              <c:f>'Graphs with Data'!$A$62</c:f>
              <c:strCache>
                <c:ptCount val="1"/>
                <c:pt idx="0">
                  <c:v>1st to 3rd Semester Retention Rate</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Data'!$D$61:$N$61</c:f>
              <c:strCache>
                <c:ptCount val="11"/>
                <c:pt idx="0">
                  <c:v>Fall 2007 Cohort</c:v>
                </c:pt>
                <c:pt idx="1">
                  <c:v>Spring 2008 Cohort</c:v>
                </c:pt>
                <c:pt idx="2">
                  <c:v>Fall 2008 Cohort</c:v>
                </c:pt>
                <c:pt idx="3">
                  <c:v>Spring 2009 Cohort</c:v>
                </c:pt>
                <c:pt idx="4">
                  <c:v>Fall 2009 Cohort</c:v>
                </c:pt>
                <c:pt idx="5">
                  <c:v>Spring 2010 Cohort</c:v>
                </c:pt>
                <c:pt idx="6">
                  <c:v>Fall 2010 Cohort</c:v>
                </c:pt>
                <c:pt idx="7">
                  <c:v>Spring 2011 Cohort </c:v>
                </c:pt>
                <c:pt idx="8">
                  <c:v>Fall 2011 Cohort</c:v>
                </c:pt>
                <c:pt idx="9">
                  <c:v>Spring 2012 Cohort</c:v>
                </c:pt>
                <c:pt idx="10">
                  <c:v>Fall  2012 Cohort</c:v>
                </c:pt>
              </c:strCache>
            </c:strRef>
          </c:cat>
          <c:val>
            <c:numRef>
              <c:f>'Graphs with Data'!$D$62:$N$62</c:f>
              <c:numCache>
                <c:formatCode>0%</c:formatCode>
                <c:ptCount val="11"/>
                <c:pt idx="0">
                  <c:v>0.76</c:v>
                </c:pt>
                <c:pt idx="1">
                  <c:v>0.7</c:v>
                </c:pt>
                <c:pt idx="2">
                  <c:v>0.75</c:v>
                </c:pt>
                <c:pt idx="3">
                  <c:v>0.77</c:v>
                </c:pt>
                <c:pt idx="4">
                  <c:v>0.84</c:v>
                </c:pt>
                <c:pt idx="5">
                  <c:v>0.8</c:v>
                </c:pt>
                <c:pt idx="6">
                  <c:v>0.74</c:v>
                </c:pt>
                <c:pt idx="7">
                  <c:v>0.84</c:v>
                </c:pt>
                <c:pt idx="8">
                  <c:v>0.87</c:v>
                </c:pt>
                <c:pt idx="9">
                  <c:v>0.86</c:v>
                </c:pt>
                <c:pt idx="10">
                  <c:v>0.87</c:v>
                </c:pt>
              </c:numCache>
            </c:numRef>
          </c:val>
        </c:ser>
        <c:ser>
          <c:idx val="2"/>
          <c:order val="1"/>
          <c:tx>
            <c:strRef>
              <c:f>'Graphs with Data'!$A$63</c:f>
              <c:strCache>
                <c:ptCount val="1"/>
                <c:pt idx="0">
                  <c:v>Graduation Rate</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Data'!$D$61:$N$61</c:f>
              <c:strCache>
                <c:ptCount val="11"/>
                <c:pt idx="0">
                  <c:v>Fall 2007 Cohort</c:v>
                </c:pt>
                <c:pt idx="1">
                  <c:v>Spring 2008 Cohort</c:v>
                </c:pt>
                <c:pt idx="2">
                  <c:v>Fall 2008 Cohort</c:v>
                </c:pt>
                <c:pt idx="3">
                  <c:v>Spring 2009 Cohort</c:v>
                </c:pt>
                <c:pt idx="4">
                  <c:v>Fall 2009 Cohort</c:v>
                </c:pt>
                <c:pt idx="5">
                  <c:v>Spring 2010 Cohort</c:v>
                </c:pt>
                <c:pt idx="6">
                  <c:v>Fall 2010 Cohort</c:v>
                </c:pt>
                <c:pt idx="7">
                  <c:v>Spring 2011 Cohort </c:v>
                </c:pt>
                <c:pt idx="8">
                  <c:v>Fall 2011 Cohort</c:v>
                </c:pt>
                <c:pt idx="9">
                  <c:v>Spring 2012 Cohort</c:v>
                </c:pt>
                <c:pt idx="10">
                  <c:v>Fall  2012 Cohort</c:v>
                </c:pt>
              </c:strCache>
            </c:strRef>
          </c:cat>
          <c:val>
            <c:numRef>
              <c:f>'Graphs with Data'!$D$63:$H$63</c:f>
              <c:numCache>
                <c:formatCode>0%</c:formatCode>
                <c:ptCount val="5"/>
                <c:pt idx="0">
                  <c:v>0.61</c:v>
                </c:pt>
                <c:pt idx="1">
                  <c:v>0.53</c:v>
                </c:pt>
                <c:pt idx="2">
                  <c:v>0.55000000000000004</c:v>
                </c:pt>
                <c:pt idx="3">
                  <c:v>0.41</c:v>
                </c:pt>
                <c:pt idx="4">
                  <c:v>0.57999999999999996</c:v>
                </c:pt>
              </c:numCache>
            </c:numRef>
          </c:val>
        </c:ser>
        <c:dLbls>
          <c:showLegendKey val="0"/>
          <c:showVal val="0"/>
          <c:showCatName val="0"/>
          <c:showSerName val="0"/>
          <c:showPercent val="0"/>
          <c:showBubbleSize val="0"/>
        </c:dLbls>
        <c:gapWidth val="75"/>
        <c:axId val="39085184"/>
        <c:axId val="39086720"/>
      </c:barChart>
      <c:catAx>
        <c:axId val="39085184"/>
        <c:scaling>
          <c:orientation val="minMax"/>
        </c:scaling>
        <c:delete val="0"/>
        <c:axPos val="b"/>
        <c:majorTickMark val="none"/>
        <c:minorTickMark val="none"/>
        <c:tickLblPos val="nextTo"/>
        <c:txPr>
          <a:bodyPr/>
          <a:lstStyle/>
          <a:p>
            <a:pPr>
              <a:defRPr sz="900" b="0"/>
            </a:pPr>
            <a:endParaRPr lang="en-US"/>
          </a:p>
        </c:txPr>
        <c:crossAx val="39086720"/>
        <c:crosses val="autoZero"/>
        <c:auto val="1"/>
        <c:lblAlgn val="ctr"/>
        <c:lblOffset val="100"/>
        <c:noMultiLvlLbl val="0"/>
      </c:catAx>
      <c:valAx>
        <c:axId val="39086720"/>
        <c:scaling>
          <c:orientation val="minMax"/>
          <c:max val="1"/>
        </c:scaling>
        <c:delete val="0"/>
        <c:axPos val="l"/>
        <c:majorGridlines/>
        <c:numFmt formatCode="0%" sourceLinked="1"/>
        <c:majorTickMark val="none"/>
        <c:minorTickMark val="none"/>
        <c:tickLblPos val="nextTo"/>
        <c:crossAx val="39085184"/>
        <c:crosses val="autoZero"/>
        <c:crossBetween val="between"/>
        <c:majorUnit val="0.2"/>
      </c:valAx>
    </c:plotArea>
    <c:legend>
      <c:legendPos val="b"/>
      <c:layout/>
      <c:overlay val="0"/>
      <c:txPr>
        <a:bodyPr/>
        <a:lstStyle/>
        <a:p>
          <a:pPr>
            <a:defRPr sz="105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3.7232596258357196E-2"/>
          <c:w val="0.90688224518810145"/>
          <c:h val="0.69774299184639199"/>
        </c:manualLayout>
      </c:layout>
      <c:barChart>
        <c:barDir val="col"/>
        <c:grouping val="clustered"/>
        <c:varyColors val="0"/>
        <c:ser>
          <c:idx val="0"/>
          <c:order val="0"/>
          <c:tx>
            <c:strRef>
              <c:f>'Graphs with Data'!$A$6</c:f>
              <c:strCache>
                <c:ptCount val="1"/>
                <c:pt idx="0">
                  <c:v>1st to 3rd Semester Retention Rate</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Data'!$C$1:$L$5</c:f>
              <c:strCache>
                <c:ptCount val="10"/>
                <c:pt idx="0">
                  <c:v>Fall 2003 Cohort</c:v>
                </c:pt>
                <c:pt idx="1">
                  <c:v>Fall 2004 Cohort</c:v>
                </c:pt>
                <c:pt idx="2">
                  <c:v>Fall 2005 Cohort</c:v>
                </c:pt>
                <c:pt idx="3">
                  <c:v>Fall 2006 Cohort</c:v>
                </c:pt>
                <c:pt idx="4">
                  <c:v>Fall 2007 Cohort</c:v>
                </c:pt>
                <c:pt idx="5">
                  <c:v>Fall 2008 Cohort</c:v>
                </c:pt>
                <c:pt idx="6">
                  <c:v>Fall 2009 Cohort</c:v>
                </c:pt>
                <c:pt idx="7">
                  <c:v>Fall 2010 Cohort</c:v>
                </c:pt>
                <c:pt idx="8">
                  <c:v>Fall 2011 Cohort</c:v>
                </c:pt>
                <c:pt idx="9">
                  <c:v>Fall 2012 Cohort</c:v>
                </c:pt>
              </c:strCache>
            </c:strRef>
          </c:cat>
          <c:val>
            <c:numRef>
              <c:f>'Graphs with Data'!$C$6:$L$6</c:f>
              <c:numCache>
                <c:formatCode>0%</c:formatCode>
                <c:ptCount val="10"/>
                <c:pt idx="0">
                  <c:v>0.84303350970017632</c:v>
                </c:pt>
                <c:pt idx="1">
                  <c:v>0.82918739635157546</c:v>
                </c:pt>
                <c:pt idx="2">
                  <c:v>0.85544217687074831</c:v>
                </c:pt>
                <c:pt idx="3">
                  <c:v>0.85761047463175122</c:v>
                </c:pt>
                <c:pt idx="4">
                  <c:v>0.84974958263772959</c:v>
                </c:pt>
                <c:pt idx="5">
                  <c:v>0.81061946902654869</c:v>
                </c:pt>
                <c:pt idx="6">
                  <c:v>0.86428571428571432</c:v>
                </c:pt>
                <c:pt idx="7">
                  <c:v>0.87</c:v>
                </c:pt>
                <c:pt idx="8">
                  <c:v>0.91</c:v>
                </c:pt>
                <c:pt idx="9">
                  <c:v>0.88</c:v>
                </c:pt>
              </c:numCache>
            </c:numRef>
          </c:val>
        </c:ser>
        <c:ser>
          <c:idx val="1"/>
          <c:order val="1"/>
          <c:tx>
            <c:strRef>
              <c:f>'Graphs with Data'!$A$7</c:f>
              <c:strCache>
                <c:ptCount val="1"/>
                <c:pt idx="0">
                  <c:v>4-Year Graduation Rate</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Data'!$C$1:$L$5</c:f>
              <c:strCache>
                <c:ptCount val="10"/>
                <c:pt idx="0">
                  <c:v>Fall 2003 Cohort</c:v>
                </c:pt>
                <c:pt idx="1">
                  <c:v>Fall 2004 Cohort</c:v>
                </c:pt>
                <c:pt idx="2">
                  <c:v>Fall 2005 Cohort</c:v>
                </c:pt>
                <c:pt idx="3">
                  <c:v>Fall 2006 Cohort</c:v>
                </c:pt>
                <c:pt idx="4">
                  <c:v>Fall 2007 Cohort</c:v>
                </c:pt>
                <c:pt idx="5">
                  <c:v>Fall 2008 Cohort</c:v>
                </c:pt>
                <c:pt idx="6">
                  <c:v>Fall 2009 Cohort</c:v>
                </c:pt>
                <c:pt idx="7">
                  <c:v>Fall 2010 Cohort</c:v>
                </c:pt>
                <c:pt idx="8">
                  <c:v>Fall 2011 Cohort</c:v>
                </c:pt>
                <c:pt idx="9">
                  <c:v>Fall 2012 Cohort</c:v>
                </c:pt>
              </c:strCache>
            </c:strRef>
          </c:cat>
          <c:val>
            <c:numRef>
              <c:f>'Graphs with Data'!$C$7:$I$7</c:f>
              <c:numCache>
                <c:formatCode>0%</c:formatCode>
                <c:ptCount val="7"/>
                <c:pt idx="0">
                  <c:v>0.62</c:v>
                </c:pt>
                <c:pt idx="1">
                  <c:v>0.6</c:v>
                </c:pt>
                <c:pt idx="2">
                  <c:v>0.62</c:v>
                </c:pt>
                <c:pt idx="3">
                  <c:v>0.61211129296235678</c:v>
                </c:pt>
                <c:pt idx="4">
                  <c:v>0.63</c:v>
                </c:pt>
                <c:pt idx="5">
                  <c:v>0.62</c:v>
                </c:pt>
                <c:pt idx="6">
                  <c:v>0.65</c:v>
                </c:pt>
              </c:numCache>
            </c:numRef>
          </c:val>
        </c:ser>
        <c:ser>
          <c:idx val="2"/>
          <c:order val="2"/>
          <c:tx>
            <c:strRef>
              <c:f>'Graphs with Data'!$A$8</c:f>
              <c:strCache>
                <c:ptCount val="1"/>
                <c:pt idx="0">
                  <c:v>6-Year Graduation Rate</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Data'!$C$1:$L$5</c:f>
              <c:strCache>
                <c:ptCount val="10"/>
                <c:pt idx="0">
                  <c:v>Fall 2003 Cohort</c:v>
                </c:pt>
                <c:pt idx="1">
                  <c:v>Fall 2004 Cohort</c:v>
                </c:pt>
                <c:pt idx="2">
                  <c:v>Fall 2005 Cohort</c:v>
                </c:pt>
                <c:pt idx="3">
                  <c:v>Fall 2006 Cohort</c:v>
                </c:pt>
                <c:pt idx="4">
                  <c:v>Fall 2007 Cohort</c:v>
                </c:pt>
                <c:pt idx="5">
                  <c:v>Fall 2008 Cohort</c:v>
                </c:pt>
                <c:pt idx="6">
                  <c:v>Fall 2009 Cohort</c:v>
                </c:pt>
                <c:pt idx="7">
                  <c:v>Fall 2010 Cohort</c:v>
                </c:pt>
                <c:pt idx="8">
                  <c:v>Fall 2011 Cohort</c:v>
                </c:pt>
                <c:pt idx="9">
                  <c:v>Fall 2012 Cohort</c:v>
                </c:pt>
              </c:strCache>
            </c:strRef>
          </c:cat>
          <c:val>
            <c:numRef>
              <c:f>'Graphs with Data'!$C$8:$J$8</c:f>
              <c:numCache>
                <c:formatCode>0%</c:formatCode>
                <c:ptCount val="8"/>
                <c:pt idx="0">
                  <c:v>0.7</c:v>
                </c:pt>
                <c:pt idx="1">
                  <c:v>0.68</c:v>
                </c:pt>
                <c:pt idx="2">
                  <c:v>0.69</c:v>
                </c:pt>
                <c:pt idx="3">
                  <c:v>0.72</c:v>
                </c:pt>
                <c:pt idx="4">
                  <c:v>0.73</c:v>
                </c:pt>
                <c:pt idx="5" formatCode="General">
                  <c:v>0</c:v>
                </c:pt>
              </c:numCache>
            </c:numRef>
          </c:val>
        </c:ser>
        <c:dLbls>
          <c:showLegendKey val="0"/>
          <c:showVal val="0"/>
          <c:showCatName val="0"/>
          <c:showSerName val="0"/>
          <c:showPercent val="0"/>
          <c:showBubbleSize val="0"/>
        </c:dLbls>
        <c:gapWidth val="75"/>
        <c:axId val="78688256"/>
        <c:axId val="78689792"/>
      </c:barChart>
      <c:catAx>
        <c:axId val="78688256"/>
        <c:scaling>
          <c:orientation val="minMax"/>
        </c:scaling>
        <c:delete val="0"/>
        <c:axPos val="b"/>
        <c:majorTickMark val="none"/>
        <c:minorTickMark val="none"/>
        <c:tickLblPos val="nextTo"/>
        <c:txPr>
          <a:bodyPr/>
          <a:lstStyle/>
          <a:p>
            <a:pPr>
              <a:defRPr sz="900" b="0"/>
            </a:pPr>
            <a:endParaRPr lang="en-US"/>
          </a:p>
        </c:txPr>
        <c:crossAx val="78689792"/>
        <c:crosses val="autoZero"/>
        <c:auto val="1"/>
        <c:lblAlgn val="ctr"/>
        <c:lblOffset val="100"/>
        <c:noMultiLvlLbl val="0"/>
      </c:catAx>
      <c:valAx>
        <c:axId val="78689792"/>
        <c:scaling>
          <c:orientation val="minMax"/>
        </c:scaling>
        <c:delete val="0"/>
        <c:axPos val="l"/>
        <c:majorGridlines/>
        <c:numFmt formatCode="0%" sourceLinked="1"/>
        <c:majorTickMark val="none"/>
        <c:minorTickMark val="none"/>
        <c:tickLblPos val="nextTo"/>
        <c:crossAx val="78688256"/>
        <c:crosses val="autoZero"/>
        <c:crossBetween val="between"/>
        <c:majorUnit val="0.2"/>
      </c:valAx>
    </c:plotArea>
    <c:legend>
      <c:legendPos val="b"/>
      <c:overlay val="0"/>
      <c:txPr>
        <a:bodyPr/>
        <a:lstStyle/>
        <a:p>
          <a:pPr>
            <a:defRPr sz="105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1"/>
          <c:order val="0"/>
          <c:tx>
            <c:strRef>
              <c:f>'UG Retention Graphs'!$A$12:$J$12</c:f>
              <c:strCache>
                <c:ptCount val="1"/>
                <c:pt idx="0">
                  <c:v>White</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Retention Graphs'!$G$3:$J$3</c:f>
              <c:strCache>
                <c:ptCount val="4"/>
                <c:pt idx="0">
                  <c:v>Spring 11 Cohort</c:v>
                </c:pt>
                <c:pt idx="1">
                  <c:v>Fall 11 Cohort</c:v>
                </c:pt>
                <c:pt idx="2">
                  <c:v>Spring 12 Cohort</c:v>
                </c:pt>
                <c:pt idx="3">
                  <c:v>Fall 12 Cohort</c:v>
                </c:pt>
              </c:strCache>
            </c:strRef>
          </c:cat>
          <c:val>
            <c:numRef>
              <c:f>'UG Retention Graphs'!$G$13:$J$13</c:f>
              <c:numCache>
                <c:formatCode>0%</c:formatCode>
                <c:ptCount val="4"/>
                <c:pt idx="0">
                  <c:v>0.95348837209302328</c:v>
                </c:pt>
                <c:pt idx="1">
                  <c:v>0.87</c:v>
                </c:pt>
                <c:pt idx="2">
                  <c:v>0.93</c:v>
                </c:pt>
                <c:pt idx="3">
                  <c:v>0.9</c:v>
                </c:pt>
              </c:numCache>
            </c:numRef>
          </c:val>
        </c:ser>
        <c:ser>
          <c:idx val="2"/>
          <c:order val="1"/>
          <c:tx>
            <c:strRef>
              <c:f>'UG Retention Graphs'!$A$16:$J$16</c:f>
              <c:strCache>
                <c:ptCount val="1"/>
                <c:pt idx="0">
                  <c:v>Hispanic</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Retention Graphs'!$G$3:$J$3</c:f>
              <c:strCache>
                <c:ptCount val="4"/>
                <c:pt idx="0">
                  <c:v>Spring 11 Cohort</c:v>
                </c:pt>
                <c:pt idx="1">
                  <c:v>Fall 11 Cohort</c:v>
                </c:pt>
                <c:pt idx="2">
                  <c:v>Spring 12 Cohort</c:v>
                </c:pt>
                <c:pt idx="3">
                  <c:v>Fall 12 Cohort</c:v>
                </c:pt>
              </c:strCache>
            </c:strRef>
          </c:cat>
          <c:val>
            <c:numRef>
              <c:f>'UG Retention Graphs'!$G$17:$J$17</c:f>
              <c:numCache>
                <c:formatCode>0%</c:formatCode>
                <c:ptCount val="4"/>
                <c:pt idx="0">
                  <c:v>0.86956521739130432</c:v>
                </c:pt>
                <c:pt idx="1">
                  <c:v>0.96</c:v>
                </c:pt>
                <c:pt idx="2">
                  <c:v>0.94</c:v>
                </c:pt>
                <c:pt idx="3">
                  <c:v>0.95</c:v>
                </c:pt>
              </c:numCache>
            </c:numRef>
          </c:val>
        </c:ser>
        <c:ser>
          <c:idx val="3"/>
          <c:order val="2"/>
          <c:tx>
            <c:strRef>
              <c:f>'UG Retention Graphs'!$A$20:$J$20</c:f>
              <c:strCache>
                <c:ptCount val="1"/>
                <c:pt idx="0">
                  <c:v>African American </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Retention Graphs'!$G$3:$J$3</c:f>
              <c:strCache>
                <c:ptCount val="4"/>
                <c:pt idx="0">
                  <c:v>Spring 11 Cohort</c:v>
                </c:pt>
                <c:pt idx="1">
                  <c:v>Fall 11 Cohort</c:v>
                </c:pt>
                <c:pt idx="2">
                  <c:v>Spring 12 Cohort</c:v>
                </c:pt>
                <c:pt idx="3">
                  <c:v>Fall 12 Cohort</c:v>
                </c:pt>
              </c:strCache>
            </c:strRef>
          </c:cat>
          <c:val>
            <c:numRef>
              <c:f>'UG Retention Graphs'!$G$21:$J$21</c:f>
              <c:numCache>
                <c:formatCode>0%</c:formatCode>
                <c:ptCount val="4"/>
                <c:pt idx="0">
                  <c:v>0.9285714285714286</c:v>
                </c:pt>
                <c:pt idx="1">
                  <c:v>0.83</c:v>
                </c:pt>
                <c:pt idx="2">
                  <c:v>0.86</c:v>
                </c:pt>
                <c:pt idx="3">
                  <c:v>0.6</c:v>
                </c:pt>
              </c:numCache>
            </c:numRef>
          </c:val>
        </c:ser>
        <c:ser>
          <c:idx val="4"/>
          <c:order val="3"/>
          <c:tx>
            <c:strRef>
              <c:f>'UG Retention Graphs'!$A$24:$J$24</c:f>
              <c:strCache>
                <c:ptCount val="1"/>
                <c:pt idx="0">
                  <c:v>Asian &amp; NHPI </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Retention Graphs'!$G$3:$J$3</c:f>
              <c:strCache>
                <c:ptCount val="4"/>
                <c:pt idx="0">
                  <c:v>Spring 11 Cohort</c:v>
                </c:pt>
                <c:pt idx="1">
                  <c:v>Fall 11 Cohort</c:v>
                </c:pt>
                <c:pt idx="2">
                  <c:v>Spring 12 Cohort</c:v>
                </c:pt>
                <c:pt idx="3">
                  <c:v>Fall 12 Cohort</c:v>
                </c:pt>
              </c:strCache>
            </c:strRef>
          </c:cat>
          <c:val>
            <c:numRef>
              <c:f>'UG Retention Graphs'!$G$25:$J$25</c:f>
              <c:numCache>
                <c:formatCode>0%</c:formatCode>
                <c:ptCount val="4"/>
                <c:pt idx="0">
                  <c:v>0.77777777777777779</c:v>
                </c:pt>
                <c:pt idx="1">
                  <c:v>0.93</c:v>
                </c:pt>
                <c:pt idx="2">
                  <c:v>0.78</c:v>
                </c:pt>
                <c:pt idx="3">
                  <c:v>0.86</c:v>
                </c:pt>
              </c:numCache>
            </c:numRef>
          </c:val>
        </c:ser>
        <c:ser>
          <c:idx val="5"/>
          <c:order val="4"/>
          <c:tx>
            <c:strRef>
              <c:f>'UG Retention Graphs'!$A$28:$J$28</c:f>
              <c:strCache>
                <c:ptCount val="1"/>
                <c:pt idx="0">
                  <c:v>Other Races / Ethnicities</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Retention Graphs'!$G$3:$J$3</c:f>
              <c:strCache>
                <c:ptCount val="4"/>
                <c:pt idx="0">
                  <c:v>Spring 11 Cohort</c:v>
                </c:pt>
                <c:pt idx="1">
                  <c:v>Fall 11 Cohort</c:v>
                </c:pt>
                <c:pt idx="2">
                  <c:v>Spring 12 Cohort</c:v>
                </c:pt>
                <c:pt idx="3">
                  <c:v>Fall 12 Cohort</c:v>
                </c:pt>
              </c:strCache>
            </c:strRef>
          </c:cat>
          <c:val>
            <c:numRef>
              <c:f>'UG Retention Graphs'!$G$29:$J$29</c:f>
              <c:numCache>
                <c:formatCode>0%</c:formatCode>
                <c:ptCount val="4"/>
                <c:pt idx="0">
                  <c:v>0.75714285714285712</c:v>
                </c:pt>
                <c:pt idx="1">
                  <c:v>0.84</c:v>
                </c:pt>
                <c:pt idx="2">
                  <c:v>0.66</c:v>
                </c:pt>
                <c:pt idx="3">
                  <c:v>0.88</c:v>
                </c:pt>
              </c:numCache>
            </c:numRef>
          </c:val>
        </c:ser>
        <c:dLbls>
          <c:showLegendKey val="0"/>
          <c:showVal val="0"/>
          <c:showCatName val="0"/>
          <c:showSerName val="0"/>
          <c:showPercent val="0"/>
          <c:showBubbleSize val="0"/>
        </c:dLbls>
        <c:gapWidth val="75"/>
        <c:axId val="99702656"/>
        <c:axId val="99704192"/>
      </c:barChart>
      <c:catAx>
        <c:axId val="99702656"/>
        <c:scaling>
          <c:orientation val="minMax"/>
        </c:scaling>
        <c:delete val="0"/>
        <c:axPos val="b"/>
        <c:majorTickMark val="none"/>
        <c:minorTickMark val="none"/>
        <c:tickLblPos val="nextTo"/>
        <c:txPr>
          <a:bodyPr/>
          <a:lstStyle/>
          <a:p>
            <a:pPr>
              <a:defRPr sz="900" b="1"/>
            </a:pPr>
            <a:endParaRPr lang="en-US"/>
          </a:p>
        </c:txPr>
        <c:crossAx val="99704192"/>
        <c:crosses val="autoZero"/>
        <c:auto val="1"/>
        <c:lblAlgn val="ctr"/>
        <c:lblOffset val="100"/>
        <c:noMultiLvlLbl val="0"/>
      </c:catAx>
      <c:valAx>
        <c:axId val="99704192"/>
        <c:scaling>
          <c:orientation val="minMax"/>
          <c:max val="1"/>
        </c:scaling>
        <c:delete val="0"/>
        <c:axPos val="l"/>
        <c:majorGridlines/>
        <c:numFmt formatCode="0%" sourceLinked="1"/>
        <c:majorTickMark val="none"/>
        <c:minorTickMark val="none"/>
        <c:tickLblPos val="nextTo"/>
        <c:spPr>
          <a:ln w="9525">
            <a:noFill/>
          </a:ln>
        </c:spPr>
        <c:crossAx val="99702656"/>
        <c:crosses val="autoZero"/>
        <c:crossBetween val="between"/>
        <c:majorUnit val="0.2"/>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1"/>
          <c:order val="0"/>
          <c:tx>
            <c:strRef>
              <c:f>'UG Grad Graphs'!$A$12:$J$12</c:f>
              <c:strCache>
                <c:ptCount val="1"/>
                <c:pt idx="0">
                  <c:v>White </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Grad Graphs'!$B$3:$D$3</c:f>
              <c:strCache>
                <c:ptCount val="3"/>
                <c:pt idx="0">
                  <c:v>Fall 08 Cohort</c:v>
                </c:pt>
                <c:pt idx="1">
                  <c:v>Spring 09 Cohort</c:v>
                </c:pt>
                <c:pt idx="2">
                  <c:v>Fall 09 Cohort</c:v>
                </c:pt>
              </c:strCache>
            </c:strRef>
          </c:cat>
          <c:val>
            <c:numRef>
              <c:f>'UG Grad Graphs'!$B$14:$D$14</c:f>
              <c:numCache>
                <c:formatCode>0%</c:formatCode>
                <c:ptCount val="3"/>
                <c:pt idx="0">
                  <c:v>0.62</c:v>
                </c:pt>
                <c:pt idx="1">
                  <c:v>0.5</c:v>
                </c:pt>
                <c:pt idx="2">
                  <c:v>0.61</c:v>
                </c:pt>
              </c:numCache>
            </c:numRef>
          </c:val>
        </c:ser>
        <c:ser>
          <c:idx val="2"/>
          <c:order val="1"/>
          <c:tx>
            <c:strRef>
              <c:f>'UG Grad Graphs'!$A$16:$J$16</c:f>
              <c:strCache>
                <c:ptCount val="1"/>
                <c:pt idx="0">
                  <c:v>Hispanic </c:v>
                </c:pt>
              </c:strCache>
            </c:strRef>
          </c:tx>
          <c:invertIfNegative val="0"/>
          <c:dLbls>
            <c:dLbl>
              <c:idx val="2"/>
              <c:showLegendKey val="0"/>
              <c:showVal val="1"/>
              <c:showCatName val="0"/>
              <c:showSerName val="0"/>
              <c:showPercent val="0"/>
              <c:showBubbleSize val="0"/>
            </c:dLbl>
            <c:spPr>
              <a:solidFill>
                <a:schemeClr val="bg1"/>
              </a:solidFill>
            </c:spPr>
            <c:txPr>
              <a:bodyPr/>
              <a:lstStyle/>
              <a:p>
                <a:pPr>
                  <a:defRPr b="1"/>
                </a:pPr>
                <a:endParaRPr lang="en-US"/>
              </a:p>
            </c:txPr>
            <c:showLegendKey val="0"/>
            <c:showVal val="0"/>
            <c:showCatName val="0"/>
            <c:showSerName val="0"/>
            <c:showPercent val="0"/>
            <c:showBubbleSize val="0"/>
          </c:dLbls>
          <c:cat>
            <c:strRef>
              <c:f>'UG Grad Graphs'!$B$3:$D$3</c:f>
              <c:strCache>
                <c:ptCount val="3"/>
                <c:pt idx="0">
                  <c:v>Fall 08 Cohort</c:v>
                </c:pt>
                <c:pt idx="1">
                  <c:v>Spring 09 Cohort</c:v>
                </c:pt>
                <c:pt idx="2">
                  <c:v>Fall 09 Cohort</c:v>
                </c:pt>
              </c:strCache>
            </c:strRef>
          </c:cat>
          <c:val>
            <c:numRef>
              <c:f>'UG Grad Graphs'!$B$18:$D$18</c:f>
              <c:numCache>
                <c:formatCode>0%</c:formatCode>
                <c:ptCount val="3"/>
                <c:pt idx="0">
                  <c:v>0.49</c:v>
                </c:pt>
                <c:pt idx="1">
                  <c:v>0.46</c:v>
                </c:pt>
                <c:pt idx="2">
                  <c:v>0.62</c:v>
                </c:pt>
              </c:numCache>
            </c:numRef>
          </c:val>
        </c:ser>
        <c:ser>
          <c:idx val="3"/>
          <c:order val="2"/>
          <c:tx>
            <c:strRef>
              <c:f>'UG Grad Graphs'!$A$20:$J$20</c:f>
              <c:strCache>
                <c:ptCount val="1"/>
                <c:pt idx="0">
                  <c:v>African American</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Grad Graphs'!$B$3:$D$3</c:f>
              <c:strCache>
                <c:ptCount val="3"/>
                <c:pt idx="0">
                  <c:v>Fall 08 Cohort</c:v>
                </c:pt>
                <c:pt idx="1">
                  <c:v>Spring 09 Cohort</c:v>
                </c:pt>
                <c:pt idx="2">
                  <c:v>Fall 09 Cohort</c:v>
                </c:pt>
              </c:strCache>
            </c:strRef>
          </c:cat>
          <c:val>
            <c:numRef>
              <c:f>'UG Grad Graphs'!$B$22:$D$22</c:f>
              <c:numCache>
                <c:formatCode>0%</c:formatCode>
                <c:ptCount val="3"/>
                <c:pt idx="0">
                  <c:v>0.45</c:v>
                </c:pt>
                <c:pt idx="1">
                  <c:v>0.31</c:v>
                </c:pt>
                <c:pt idx="2">
                  <c:v>0.56999999999999995</c:v>
                </c:pt>
              </c:numCache>
            </c:numRef>
          </c:val>
        </c:ser>
        <c:ser>
          <c:idx val="4"/>
          <c:order val="3"/>
          <c:tx>
            <c:strRef>
              <c:f>'UG Grad Graphs'!$A$24:$J$24</c:f>
              <c:strCache>
                <c:ptCount val="1"/>
                <c:pt idx="0">
                  <c:v>Asian &amp; NHPI </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Grad Graphs'!$B$3:$D$3</c:f>
              <c:strCache>
                <c:ptCount val="3"/>
                <c:pt idx="0">
                  <c:v>Fall 08 Cohort</c:v>
                </c:pt>
                <c:pt idx="1">
                  <c:v>Spring 09 Cohort</c:v>
                </c:pt>
                <c:pt idx="2">
                  <c:v>Fall 09 Cohort</c:v>
                </c:pt>
              </c:strCache>
            </c:strRef>
          </c:cat>
          <c:val>
            <c:numRef>
              <c:f>'UG Grad Graphs'!$B$26:$D$26</c:f>
              <c:numCache>
                <c:formatCode>0%</c:formatCode>
                <c:ptCount val="3"/>
                <c:pt idx="0">
                  <c:v>0.4</c:v>
                </c:pt>
                <c:pt idx="1">
                  <c:v>0.33</c:v>
                </c:pt>
                <c:pt idx="2">
                  <c:v>0.63</c:v>
                </c:pt>
              </c:numCache>
            </c:numRef>
          </c:val>
        </c:ser>
        <c:ser>
          <c:idx val="5"/>
          <c:order val="4"/>
          <c:tx>
            <c:strRef>
              <c:f>'UG Grad Graphs'!$A$28:$J$28</c:f>
              <c:strCache>
                <c:ptCount val="1"/>
                <c:pt idx="0">
                  <c:v>Other Races / Ethnicities</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'UG Grad Graphs'!$B$3:$D$3</c:f>
              <c:strCache>
                <c:ptCount val="3"/>
                <c:pt idx="0">
                  <c:v>Fall 08 Cohort</c:v>
                </c:pt>
                <c:pt idx="1">
                  <c:v>Spring 09 Cohort</c:v>
                </c:pt>
                <c:pt idx="2">
                  <c:v>Fall 09 Cohort</c:v>
                </c:pt>
              </c:strCache>
            </c:strRef>
          </c:cat>
          <c:val>
            <c:numRef>
              <c:f>'UG Grad Graphs'!$B$30:$D$30</c:f>
              <c:numCache>
                <c:formatCode>0%</c:formatCode>
                <c:ptCount val="3"/>
                <c:pt idx="0">
                  <c:v>0.64</c:v>
                </c:pt>
                <c:pt idx="1">
                  <c:v>0.33</c:v>
                </c:pt>
                <c:pt idx="2">
                  <c:v>0.46</c:v>
                </c:pt>
              </c:numCache>
            </c:numRef>
          </c:val>
        </c:ser>
        <c:dLbls>
          <c:showLegendKey val="0"/>
          <c:showVal val="0"/>
          <c:showCatName val="0"/>
          <c:showSerName val="0"/>
          <c:showPercent val="0"/>
          <c:showBubbleSize val="0"/>
        </c:dLbls>
        <c:gapWidth val="75"/>
        <c:axId val="99766656"/>
        <c:axId val="99768192"/>
      </c:barChart>
      <c:catAx>
        <c:axId val="99766656"/>
        <c:scaling>
          <c:orientation val="minMax"/>
        </c:scaling>
        <c:delete val="0"/>
        <c:axPos val="b"/>
        <c:majorTickMark val="none"/>
        <c:minorTickMark val="none"/>
        <c:tickLblPos val="nextTo"/>
        <c:txPr>
          <a:bodyPr/>
          <a:lstStyle/>
          <a:p>
            <a:pPr>
              <a:defRPr b="1"/>
            </a:pPr>
            <a:endParaRPr lang="en-US"/>
          </a:p>
        </c:txPr>
        <c:crossAx val="99768192"/>
        <c:crosses val="autoZero"/>
        <c:auto val="1"/>
        <c:lblAlgn val="ctr"/>
        <c:lblOffset val="100"/>
        <c:noMultiLvlLbl val="0"/>
      </c:catAx>
      <c:valAx>
        <c:axId val="99768192"/>
        <c:scaling>
          <c:orientation val="minMax"/>
          <c:max val="1"/>
        </c:scaling>
        <c:delete val="0"/>
        <c:axPos val="l"/>
        <c:majorGridlines/>
        <c:numFmt formatCode="0%" sourceLinked="1"/>
        <c:majorTickMark val="none"/>
        <c:minorTickMark val="none"/>
        <c:tickLblPos val="nextTo"/>
        <c:spPr>
          <a:ln w="9525">
            <a:noFill/>
          </a:ln>
        </c:spPr>
        <c:crossAx val="99766656"/>
        <c:crosses val="autoZero"/>
        <c:crossBetween val="between"/>
        <c:majorUnit val="0.2"/>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5.2708008196452195E-2"/>
          <c:w val="0.90688224518810145"/>
          <c:h val="0.70889765648508263"/>
        </c:manualLayout>
      </c:layout>
      <c:barChart>
        <c:barDir val="col"/>
        <c:grouping val="clustered"/>
        <c:varyColors val="0"/>
        <c:ser>
          <c:idx val="0"/>
          <c:order val="0"/>
          <c:tx>
            <c:strRef>
              <c:f>'Graphs with Data'!$A$88</c:f>
              <c:strCache>
                <c:ptCount val="1"/>
                <c:pt idx="0">
                  <c:v>1st to 3rd Semester Retention Rate</c:v>
                </c:pt>
              </c:strCache>
            </c:strRef>
          </c:tx>
          <c:invertIfNegative val="0"/>
          <c:dLbls>
            <c:spPr>
              <a:solidFill>
                <a:schemeClr val="bg1"/>
              </a:solidFill>
            </c:spPr>
            <c:txPr>
              <a:bodyPr/>
              <a:lstStyle/>
              <a:p>
                <a:pPr>
                  <a:defRPr sz="900" b="1"/>
                </a:pPr>
                <a:endParaRPr lang="en-US"/>
              </a:p>
            </c:txPr>
            <c:showLegendKey val="0"/>
            <c:showVal val="1"/>
            <c:showCatName val="0"/>
            <c:showSerName val="0"/>
            <c:showPercent val="0"/>
            <c:showBubbleSize val="0"/>
            <c:showLeaderLines val="0"/>
          </c:dLbls>
          <c:cat>
            <c:strRef>
              <c:f>'Graphs with Data'!$F$87:$N$87</c:f>
              <c:strCache>
                <c:ptCount val="9"/>
                <c:pt idx="0">
                  <c:v>Fall 2008 Cohort</c:v>
                </c:pt>
                <c:pt idx="1">
                  <c:v>Spring 2009 Cohort</c:v>
                </c:pt>
                <c:pt idx="2">
                  <c:v>Fall 2009 Cohort</c:v>
                </c:pt>
                <c:pt idx="3">
                  <c:v>Spring 2010 Cohort</c:v>
                </c:pt>
                <c:pt idx="4">
                  <c:v>Fall 2010 Cohort</c:v>
                </c:pt>
                <c:pt idx="5">
                  <c:v>Spring 2011 Cohort</c:v>
                </c:pt>
                <c:pt idx="6">
                  <c:v>Fall 2011 Cohort</c:v>
                </c:pt>
                <c:pt idx="7">
                  <c:v>Spring 2012 Cohort</c:v>
                </c:pt>
                <c:pt idx="8">
                  <c:v>Fall  2012 Cohort</c:v>
                </c:pt>
              </c:strCache>
            </c:strRef>
          </c:cat>
          <c:val>
            <c:numRef>
              <c:f>'Graphs with Data'!$F$88:$N$88</c:f>
              <c:numCache>
                <c:formatCode>0%</c:formatCode>
                <c:ptCount val="9"/>
                <c:pt idx="0">
                  <c:v>0.86</c:v>
                </c:pt>
                <c:pt idx="1">
                  <c:v>0.9</c:v>
                </c:pt>
                <c:pt idx="2">
                  <c:v>0.83</c:v>
                </c:pt>
                <c:pt idx="3">
                  <c:v>0.89</c:v>
                </c:pt>
                <c:pt idx="4">
                  <c:v>0.89</c:v>
                </c:pt>
                <c:pt idx="5">
                  <c:v>0.81</c:v>
                </c:pt>
                <c:pt idx="6">
                  <c:v>0.93</c:v>
                </c:pt>
                <c:pt idx="7">
                  <c:v>0.89</c:v>
                </c:pt>
                <c:pt idx="8">
                  <c:v>0.9</c:v>
                </c:pt>
              </c:numCache>
            </c:numRef>
          </c:val>
        </c:ser>
        <c:ser>
          <c:idx val="2"/>
          <c:order val="1"/>
          <c:tx>
            <c:strRef>
              <c:f>'Graphs with Data'!$A$89</c:f>
              <c:strCache>
                <c:ptCount val="1"/>
                <c:pt idx="0">
                  <c:v>Graduation Rate</c:v>
                </c:pt>
              </c:strCache>
            </c:strRef>
          </c:tx>
          <c:invertIfNegative val="0"/>
          <c:dLbls>
            <c:spPr>
              <a:solidFill>
                <a:schemeClr val="bg1"/>
              </a:solidFill>
            </c:spPr>
            <c:txPr>
              <a:bodyPr/>
              <a:lstStyle/>
              <a:p>
                <a:pPr>
                  <a:defRPr sz="900" b="1"/>
                </a:pPr>
                <a:endParaRPr lang="en-US"/>
              </a:p>
            </c:txPr>
            <c:showLegendKey val="0"/>
            <c:showVal val="1"/>
            <c:showCatName val="0"/>
            <c:showSerName val="0"/>
            <c:showPercent val="0"/>
            <c:showBubbleSize val="0"/>
            <c:showLeaderLines val="0"/>
          </c:dLbls>
          <c:cat>
            <c:strRef>
              <c:f>'Graphs with Data'!$F$87:$N$87</c:f>
              <c:strCache>
                <c:ptCount val="9"/>
                <c:pt idx="0">
                  <c:v>Fall 2008 Cohort</c:v>
                </c:pt>
                <c:pt idx="1">
                  <c:v>Spring 2009 Cohort</c:v>
                </c:pt>
                <c:pt idx="2">
                  <c:v>Fall 2009 Cohort</c:v>
                </c:pt>
                <c:pt idx="3">
                  <c:v>Spring 2010 Cohort</c:v>
                </c:pt>
                <c:pt idx="4">
                  <c:v>Fall 2010 Cohort</c:v>
                </c:pt>
                <c:pt idx="5">
                  <c:v>Spring 2011 Cohort</c:v>
                </c:pt>
                <c:pt idx="6">
                  <c:v>Fall 2011 Cohort</c:v>
                </c:pt>
                <c:pt idx="7">
                  <c:v>Spring 2012 Cohort</c:v>
                </c:pt>
                <c:pt idx="8">
                  <c:v>Fall  2012 Cohort</c:v>
                </c:pt>
              </c:strCache>
            </c:strRef>
          </c:cat>
          <c:val>
            <c:numRef>
              <c:f>'Graphs with Data'!$F$89:$L$89</c:f>
              <c:numCache>
                <c:formatCode>0%</c:formatCode>
                <c:ptCount val="7"/>
                <c:pt idx="0">
                  <c:v>0.88</c:v>
                </c:pt>
                <c:pt idx="1">
                  <c:v>0.88</c:v>
                </c:pt>
                <c:pt idx="2">
                  <c:v>0.71</c:v>
                </c:pt>
                <c:pt idx="3">
                  <c:v>0.86</c:v>
                </c:pt>
                <c:pt idx="4">
                  <c:v>0.8</c:v>
                </c:pt>
                <c:pt idx="5">
                  <c:v>0.81</c:v>
                </c:pt>
              </c:numCache>
            </c:numRef>
          </c:val>
        </c:ser>
        <c:dLbls>
          <c:showLegendKey val="0"/>
          <c:showVal val="0"/>
          <c:showCatName val="0"/>
          <c:showSerName val="0"/>
          <c:showPercent val="0"/>
          <c:showBubbleSize val="0"/>
        </c:dLbls>
        <c:gapWidth val="75"/>
        <c:axId val="99782016"/>
        <c:axId val="99800192"/>
      </c:barChart>
      <c:catAx>
        <c:axId val="99782016"/>
        <c:scaling>
          <c:orientation val="minMax"/>
        </c:scaling>
        <c:delete val="0"/>
        <c:axPos val="b"/>
        <c:majorTickMark val="none"/>
        <c:minorTickMark val="none"/>
        <c:tickLblPos val="nextTo"/>
        <c:txPr>
          <a:bodyPr/>
          <a:lstStyle/>
          <a:p>
            <a:pPr>
              <a:defRPr sz="900" b="0"/>
            </a:pPr>
            <a:endParaRPr lang="en-US"/>
          </a:p>
        </c:txPr>
        <c:crossAx val="99800192"/>
        <c:crosses val="autoZero"/>
        <c:auto val="1"/>
        <c:lblAlgn val="ctr"/>
        <c:lblOffset val="100"/>
        <c:noMultiLvlLbl val="0"/>
      </c:catAx>
      <c:valAx>
        <c:axId val="99800192"/>
        <c:scaling>
          <c:orientation val="minMax"/>
        </c:scaling>
        <c:delete val="0"/>
        <c:axPos val="l"/>
        <c:majorGridlines/>
        <c:numFmt formatCode="0%" sourceLinked="1"/>
        <c:majorTickMark val="none"/>
        <c:minorTickMark val="none"/>
        <c:tickLblPos val="nextTo"/>
        <c:crossAx val="99782016"/>
        <c:crosses val="autoZero"/>
        <c:crossBetween val="between"/>
        <c:majorUnit val="0.2"/>
      </c:valAx>
    </c:plotArea>
    <c:legend>
      <c:legendPos val="b"/>
      <c:overlay val="0"/>
      <c:txPr>
        <a:bodyPr/>
        <a:lstStyle/>
        <a:p>
          <a:pPr>
            <a:defRPr sz="1000"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5.533953287668545E-2"/>
          <c:w val="0.90688224518810145"/>
          <c:h val="0.64718647075769664"/>
        </c:manualLayout>
      </c:layout>
      <c:barChart>
        <c:barDir val="col"/>
        <c:grouping val="clustered"/>
        <c:varyColors val="0"/>
        <c:ser>
          <c:idx val="0"/>
          <c:order val="0"/>
          <c:tx>
            <c:strRef>
              <c:f>'Graphs with Data'!$A$114</c:f>
              <c:strCache>
                <c:ptCount val="1"/>
                <c:pt idx="0">
                  <c:v>1st to 3rd Semester Retention Rate</c:v>
                </c:pt>
              </c:strCache>
            </c:strRef>
          </c:tx>
          <c:invertIfNegative val="0"/>
          <c:dLbls>
            <c:dLbl>
              <c:idx val="4"/>
              <c:layout>
                <c:manualLayout>
                  <c:x val="-7.7419350905798788E-3"/>
                  <c:y val="0"/>
                </c:manualLayout>
              </c:layout>
              <c:showLegendKey val="0"/>
              <c:showVal val="1"/>
              <c:showCatName val="0"/>
              <c:showSerName val="0"/>
              <c:showPercent val="0"/>
              <c:showBubbleSize val="0"/>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Data'!$F$113:$N$113</c:f>
              <c:strCache>
                <c:ptCount val="9"/>
                <c:pt idx="0">
                  <c:v>Fall 2008 Cohort</c:v>
                </c:pt>
                <c:pt idx="1">
                  <c:v>Spring 2009 Cohort</c:v>
                </c:pt>
                <c:pt idx="2">
                  <c:v>Fall 2009 Cohort</c:v>
                </c:pt>
                <c:pt idx="3">
                  <c:v>Spring 2010 Cohort</c:v>
                </c:pt>
                <c:pt idx="4">
                  <c:v>Fall 2010 Cohort</c:v>
                </c:pt>
                <c:pt idx="5">
                  <c:v>Spring 2011 Cohort</c:v>
                </c:pt>
                <c:pt idx="6">
                  <c:v>Fall 2011 Cohort</c:v>
                </c:pt>
                <c:pt idx="7">
                  <c:v>Spring 2012 Cohort</c:v>
                </c:pt>
                <c:pt idx="8">
                  <c:v>Fall  2012 Cohort</c:v>
                </c:pt>
              </c:strCache>
            </c:strRef>
          </c:cat>
          <c:val>
            <c:numRef>
              <c:f>'Graphs with Data'!$F$114:$N$114</c:f>
              <c:numCache>
                <c:formatCode>0%</c:formatCode>
                <c:ptCount val="9"/>
                <c:pt idx="0">
                  <c:v>0.82745098039215681</c:v>
                </c:pt>
                <c:pt idx="1">
                  <c:v>0.85</c:v>
                </c:pt>
                <c:pt idx="2">
                  <c:v>0.8</c:v>
                </c:pt>
                <c:pt idx="3">
                  <c:v>0.82</c:v>
                </c:pt>
                <c:pt idx="4">
                  <c:v>0.6</c:v>
                </c:pt>
                <c:pt idx="5">
                  <c:v>0.87</c:v>
                </c:pt>
                <c:pt idx="6">
                  <c:v>0.9</c:v>
                </c:pt>
                <c:pt idx="7">
                  <c:v>0.83</c:v>
                </c:pt>
                <c:pt idx="8">
                  <c:v>0.81</c:v>
                </c:pt>
              </c:numCache>
            </c:numRef>
          </c:val>
        </c:ser>
        <c:ser>
          <c:idx val="2"/>
          <c:order val="1"/>
          <c:tx>
            <c:strRef>
              <c:f>'Graphs with Data'!$A$115</c:f>
              <c:strCache>
                <c:ptCount val="1"/>
                <c:pt idx="0">
                  <c:v>Graduation Rate</c:v>
                </c:pt>
              </c:strCache>
            </c:strRef>
          </c:tx>
          <c:invertIfNegative val="0"/>
          <c:dLbls>
            <c:dLbl>
              <c:idx val="0"/>
              <c:layout>
                <c:manualLayout>
                  <c:x val="1.1612750235572759E-2"/>
                  <c:y val="0"/>
                </c:manualLayout>
              </c:layout>
              <c:showLegendKey val="0"/>
              <c:showVal val="1"/>
              <c:showCatName val="0"/>
              <c:showSerName val="0"/>
              <c:showPercent val="0"/>
              <c:showBubbleSize val="0"/>
            </c:dLbl>
            <c:dLbl>
              <c:idx val="1"/>
              <c:layout>
                <c:manualLayout>
                  <c:x val="9.6774188632248476E-3"/>
                  <c:y val="0"/>
                </c:manualLayout>
              </c:layout>
              <c:showLegendKey val="0"/>
              <c:showVal val="1"/>
              <c:showCatName val="0"/>
              <c:showSerName val="0"/>
              <c:showPercent val="0"/>
              <c:showBubbleSize val="0"/>
            </c:dLbl>
            <c:dLbl>
              <c:idx val="2"/>
              <c:layout>
                <c:manualLayout>
                  <c:x val="5.8064513179349091E-3"/>
                  <c:y val="0"/>
                </c:manualLayout>
              </c:layout>
              <c:showLegendKey val="0"/>
              <c:showVal val="1"/>
              <c:showCatName val="0"/>
              <c:showSerName val="0"/>
              <c:showPercent val="0"/>
              <c:showBubbleSize val="0"/>
            </c:dLbl>
            <c:dLbl>
              <c:idx val="3"/>
              <c:layout>
                <c:manualLayout>
                  <c:x val="7.7419350905798788E-3"/>
                  <c:y val="0"/>
                </c:manualLayout>
              </c:layout>
              <c:showLegendKey val="0"/>
              <c:showVal val="1"/>
              <c:showCatName val="0"/>
              <c:showSerName val="0"/>
              <c:showPercent val="0"/>
              <c:showBubbleSize val="0"/>
            </c:dLbl>
            <c:dLbl>
              <c:idx val="5"/>
              <c:delete val="1"/>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Data'!$F$113:$N$113</c:f>
              <c:strCache>
                <c:ptCount val="9"/>
                <c:pt idx="0">
                  <c:v>Fall 2008 Cohort</c:v>
                </c:pt>
                <c:pt idx="1">
                  <c:v>Spring 2009 Cohort</c:v>
                </c:pt>
                <c:pt idx="2">
                  <c:v>Fall 2009 Cohort</c:v>
                </c:pt>
                <c:pt idx="3">
                  <c:v>Spring 2010 Cohort</c:v>
                </c:pt>
                <c:pt idx="4">
                  <c:v>Fall 2010 Cohort</c:v>
                </c:pt>
                <c:pt idx="5">
                  <c:v>Spring 2011 Cohort</c:v>
                </c:pt>
                <c:pt idx="6">
                  <c:v>Fall 2011 Cohort</c:v>
                </c:pt>
                <c:pt idx="7">
                  <c:v>Spring 2012 Cohort</c:v>
                </c:pt>
                <c:pt idx="8">
                  <c:v>Fall  2012 Cohort</c:v>
                </c:pt>
              </c:strCache>
            </c:strRef>
          </c:cat>
          <c:val>
            <c:numRef>
              <c:f>'Graphs with Data'!$F$115:$L$115</c:f>
              <c:numCache>
                <c:formatCode>0%</c:formatCode>
                <c:ptCount val="7"/>
                <c:pt idx="0">
                  <c:v>0.78</c:v>
                </c:pt>
                <c:pt idx="1">
                  <c:v>0.79</c:v>
                </c:pt>
                <c:pt idx="2">
                  <c:v>0.74</c:v>
                </c:pt>
                <c:pt idx="3">
                  <c:v>0.55000000000000004</c:v>
                </c:pt>
                <c:pt idx="4">
                  <c:v>0.67</c:v>
                </c:pt>
                <c:pt idx="5">
                  <c:v>0</c:v>
                </c:pt>
              </c:numCache>
            </c:numRef>
          </c:val>
        </c:ser>
        <c:dLbls>
          <c:showLegendKey val="0"/>
          <c:showVal val="0"/>
          <c:showCatName val="0"/>
          <c:showSerName val="0"/>
          <c:showPercent val="0"/>
          <c:showBubbleSize val="0"/>
        </c:dLbls>
        <c:gapWidth val="75"/>
        <c:axId val="100350592"/>
        <c:axId val="100356480"/>
      </c:barChart>
      <c:catAx>
        <c:axId val="100350592"/>
        <c:scaling>
          <c:orientation val="minMax"/>
        </c:scaling>
        <c:delete val="0"/>
        <c:axPos val="b"/>
        <c:majorTickMark val="none"/>
        <c:minorTickMark val="none"/>
        <c:tickLblPos val="nextTo"/>
        <c:txPr>
          <a:bodyPr/>
          <a:lstStyle/>
          <a:p>
            <a:pPr>
              <a:defRPr sz="900" b="0"/>
            </a:pPr>
            <a:endParaRPr lang="en-US"/>
          </a:p>
        </c:txPr>
        <c:crossAx val="100356480"/>
        <c:crosses val="autoZero"/>
        <c:auto val="1"/>
        <c:lblAlgn val="ctr"/>
        <c:lblOffset val="100"/>
        <c:noMultiLvlLbl val="0"/>
      </c:catAx>
      <c:valAx>
        <c:axId val="100356480"/>
        <c:scaling>
          <c:orientation val="minMax"/>
        </c:scaling>
        <c:delete val="0"/>
        <c:axPos val="l"/>
        <c:majorGridlines/>
        <c:numFmt formatCode="0%" sourceLinked="1"/>
        <c:majorTickMark val="none"/>
        <c:minorTickMark val="none"/>
        <c:tickLblPos val="nextTo"/>
        <c:crossAx val="100350592"/>
        <c:crosses val="autoZero"/>
        <c:crossBetween val="between"/>
      </c:valAx>
    </c:plotArea>
    <c:legend>
      <c:legendPos val="b"/>
      <c:overlay val="0"/>
      <c:txPr>
        <a:bodyPr/>
        <a:lstStyle/>
        <a:p>
          <a:pPr>
            <a:defRPr sz="1000"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1"/>
          <c:order val="0"/>
          <c:tx>
            <c:strRef>
              <c:f>'GR Grad Graphs'!$A$4:$J$4</c:f>
              <c:strCache>
                <c:ptCount val="1"/>
                <c:pt idx="0">
                  <c:v>Graduate Men</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Graphs'!$D$6:$G$6</c:f>
              <c:numCache>
                <c:formatCode>0%</c:formatCode>
                <c:ptCount val="4"/>
                <c:pt idx="0">
                  <c:v>0.75</c:v>
                </c:pt>
                <c:pt idx="1">
                  <c:v>0.72</c:v>
                </c:pt>
                <c:pt idx="2">
                  <c:v>0.72</c:v>
                </c:pt>
                <c:pt idx="3">
                  <c:v>0.72</c:v>
                </c:pt>
              </c:numCache>
            </c:numRef>
          </c:val>
        </c:ser>
        <c:ser>
          <c:idx val="2"/>
          <c:order val="1"/>
          <c:tx>
            <c:strRef>
              <c:f>'GR Grad Graphs'!$A$8:$J$8</c:f>
              <c:strCache>
                <c:ptCount val="1"/>
                <c:pt idx="0">
                  <c:v>Graduate Women</c:v>
                </c:pt>
              </c:strCache>
            </c:strRef>
          </c:tx>
          <c:invertIfNegative val="0"/>
          <c:dLbls>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Graphs'!$D$10:$G$10</c:f>
              <c:numCache>
                <c:formatCode>0%</c:formatCode>
                <c:ptCount val="4"/>
                <c:pt idx="0">
                  <c:v>0.73</c:v>
                </c:pt>
                <c:pt idx="1">
                  <c:v>0.64</c:v>
                </c:pt>
                <c:pt idx="2">
                  <c:v>0.63</c:v>
                </c:pt>
                <c:pt idx="3">
                  <c:v>0.94</c:v>
                </c:pt>
              </c:numCache>
            </c:numRef>
          </c:val>
        </c:ser>
        <c:dLbls>
          <c:showLegendKey val="0"/>
          <c:showVal val="0"/>
          <c:showCatName val="0"/>
          <c:showSerName val="0"/>
          <c:showPercent val="0"/>
          <c:showBubbleSize val="0"/>
        </c:dLbls>
        <c:gapWidth val="75"/>
        <c:axId val="100394112"/>
        <c:axId val="100395648"/>
      </c:barChart>
      <c:catAx>
        <c:axId val="100394112"/>
        <c:scaling>
          <c:orientation val="minMax"/>
        </c:scaling>
        <c:delete val="0"/>
        <c:axPos val="b"/>
        <c:majorTickMark val="none"/>
        <c:minorTickMark val="none"/>
        <c:tickLblPos val="nextTo"/>
        <c:txPr>
          <a:bodyPr/>
          <a:lstStyle/>
          <a:p>
            <a:pPr>
              <a:defRPr b="1"/>
            </a:pPr>
            <a:endParaRPr lang="en-US"/>
          </a:p>
        </c:txPr>
        <c:crossAx val="100395648"/>
        <c:crosses val="autoZero"/>
        <c:auto val="1"/>
        <c:lblAlgn val="ctr"/>
        <c:lblOffset val="100"/>
        <c:noMultiLvlLbl val="0"/>
      </c:catAx>
      <c:valAx>
        <c:axId val="100395648"/>
        <c:scaling>
          <c:orientation val="minMax"/>
        </c:scaling>
        <c:delete val="0"/>
        <c:axPos val="l"/>
        <c:majorGridlines/>
        <c:numFmt formatCode="0%" sourceLinked="1"/>
        <c:majorTickMark val="none"/>
        <c:minorTickMark val="none"/>
        <c:tickLblPos val="nextTo"/>
        <c:crossAx val="100394112"/>
        <c:crosses val="autoZero"/>
        <c:crossBetween val="between"/>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2"/>
          <c:tx>
            <c:strRef>
              <c:f>'GR Grad Graphs'!$A$12:$J$12</c:f>
              <c:strCache>
                <c:ptCount val="1"/>
                <c:pt idx="0">
                  <c:v>White Graduates</c:v>
                </c:pt>
              </c:strCache>
            </c:strRef>
          </c:tx>
          <c:invertIfNegative val="0"/>
          <c:dLbls>
            <c:dLbl>
              <c:idx val="0"/>
              <c:layout>
                <c:manualLayout>
                  <c:x val="0"/>
                  <c:y val="1.9047619047619049E-2"/>
                </c:manualLayout>
              </c:layout>
              <c:showLegendKey val="0"/>
              <c:showVal val="1"/>
              <c:showCatName val="0"/>
              <c:showSerName val="0"/>
              <c:showPercent val="0"/>
              <c:showBubbleSize val="0"/>
            </c:dLbl>
            <c:txPr>
              <a:bodyPr/>
              <a:lstStyle/>
              <a:p>
                <a:pPr>
                  <a:defRPr sz="900"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Graphs'!$D$14:$G$14</c:f>
              <c:numCache>
                <c:formatCode>0%</c:formatCode>
                <c:ptCount val="4"/>
                <c:pt idx="0">
                  <c:v>0.81</c:v>
                </c:pt>
                <c:pt idx="1">
                  <c:v>0.8</c:v>
                </c:pt>
                <c:pt idx="2">
                  <c:v>0.82</c:v>
                </c:pt>
                <c:pt idx="3">
                  <c:v>0.48</c:v>
                </c:pt>
              </c:numCache>
            </c:numRef>
          </c:val>
        </c:ser>
        <c:ser>
          <c:idx val="3"/>
          <c:order val="3"/>
          <c:tx>
            <c:strRef>
              <c:f>'GR Grad Graphs'!$A$16:$J$16</c:f>
              <c:strCache>
                <c:ptCount val="1"/>
                <c:pt idx="0">
                  <c:v>Hispanic Graduates</c:v>
                </c:pt>
              </c:strCache>
            </c:strRef>
          </c:tx>
          <c:invertIfNegative val="0"/>
          <c:dLbls>
            <c:dLbl>
              <c:idx val="0"/>
              <c:layout>
                <c:manualLayout>
                  <c:x val="1.8072290013864435E-3"/>
                  <c:y val="1.9047619047619049E-2"/>
                </c:manualLayout>
              </c:layout>
              <c:showLegendKey val="0"/>
              <c:showVal val="1"/>
              <c:showCatName val="0"/>
              <c:showSerName val="0"/>
              <c:showPercent val="0"/>
              <c:showBubbleSize val="0"/>
            </c:dLbl>
            <c:txPr>
              <a:bodyPr/>
              <a:lstStyle/>
              <a:p>
                <a:pPr>
                  <a:defRPr sz="900"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Graphs'!$D$18:$G$18</c:f>
              <c:numCache>
                <c:formatCode>0%</c:formatCode>
                <c:ptCount val="4"/>
                <c:pt idx="0">
                  <c:v>0.64</c:v>
                </c:pt>
                <c:pt idx="1">
                  <c:v>0.67</c:v>
                </c:pt>
                <c:pt idx="2">
                  <c:v>0.69</c:v>
                </c:pt>
                <c:pt idx="3">
                  <c:v>0.79</c:v>
                </c:pt>
              </c:numCache>
            </c:numRef>
          </c:val>
        </c:ser>
        <c:ser>
          <c:idx val="4"/>
          <c:order val="4"/>
          <c:tx>
            <c:strRef>
              <c:f>'GR Grad Graphs'!$A$20:$J$20</c:f>
              <c:strCache>
                <c:ptCount val="1"/>
                <c:pt idx="0">
                  <c:v>African American Graduates</c:v>
                </c:pt>
              </c:strCache>
            </c:strRef>
          </c:tx>
          <c:invertIfNegative val="0"/>
          <c:dLbls>
            <c:dLbl>
              <c:idx val="1"/>
              <c:layout>
                <c:manualLayout>
                  <c:x val="3.614458002772887E-3"/>
                  <c:y val="9.5238095238095247E-3"/>
                </c:manualLayout>
              </c:layout>
              <c:showLegendKey val="0"/>
              <c:showVal val="1"/>
              <c:showCatName val="0"/>
              <c:showSerName val="0"/>
              <c:showPercent val="0"/>
              <c:showBubbleSize val="0"/>
            </c:dLbl>
            <c:txPr>
              <a:bodyPr/>
              <a:lstStyle/>
              <a:p>
                <a:pPr>
                  <a:defRPr sz="900"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Graphs'!$D$22:$G$22</c:f>
              <c:numCache>
                <c:formatCode>0%</c:formatCode>
                <c:ptCount val="4"/>
                <c:pt idx="0">
                  <c:v>0.67</c:v>
                </c:pt>
                <c:pt idx="1">
                  <c:v>0.5</c:v>
                </c:pt>
                <c:pt idx="2">
                  <c:v>0.63</c:v>
                </c:pt>
                <c:pt idx="3">
                  <c:v>0.74</c:v>
                </c:pt>
              </c:numCache>
            </c:numRef>
          </c:val>
        </c:ser>
        <c:ser>
          <c:idx val="5"/>
          <c:order val="5"/>
          <c:tx>
            <c:strRef>
              <c:f>'GR Grad Graphs'!$A$24:$J$24</c:f>
              <c:strCache>
                <c:ptCount val="1"/>
                <c:pt idx="0">
                  <c:v>Asian &amp; NHPI Graduates</c:v>
                </c:pt>
              </c:strCache>
            </c:strRef>
          </c:tx>
          <c:invertIfNegative val="0"/>
          <c:dLbls>
            <c:txPr>
              <a:bodyPr/>
              <a:lstStyle/>
              <a:p>
                <a:pPr>
                  <a:defRPr sz="900"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Graphs'!$D$26:$G$26</c:f>
              <c:numCache>
                <c:formatCode>0%</c:formatCode>
                <c:ptCount val="4"/>
                <c:pt idx="0">
                  <c:v>0.76</c:v>
                </c:pt>
                <c:pt idx="1">
                  <c:v>0.67</c:v>
                </c:pt>
                <c:pt idx="2">
                  <c:v>0.56999999999999995</c:v>
                </c:pt>
                <c:pt idx="3">
                  <c:v>0.69</c:v>
                </c:pt>
              </c:numCache>
            </c:numRef>
          </c:val>
        </c:ser>
        <c:ser>
          <c:idx val="6"/>
          <c:order val="6"/>
          <c:tx>
            <c:strRef>
              <c:f>'GR Grad Graphs'!$A$28:$J$28</c:f>
              <c:strCache>
                <c:ptCount val="1"/>
                <c:pt idx="0">
                  <c:v>Other Races / Ethnicities</c:v>
                </c:pt>
              </c:strCache>
            </c:strRef>
          </c:tx>
          <c:invertIfNegative val="0"/>
          <c:dLbls>
            <c:dLbl>
              <c:idx val="3"/>
              <c:layout>
                <c:manualLayout>
                  <c:x val="1.8072290013864435E-3"/>
                  <c:y val="9.5238095238095247E-3"/>
                </c:manualLayout>
              </c:layout>
              <c:showLegendKey val="0"/>
              <c:showVal val="1"/>
              <c:showCatName val="0"/>
              <c:showSerName val="0"/>
              <c:showPercent val="0"/>
              <c:showBubbleSize val="0"/>
            </c:dLbl>
            <c:txPr>
              <a:bodyPr/>
              <a:lstStyle/>
              <a:p>
                <a:pPr>
                  <a:defRPr sz="900"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Graphs'!$D$30:$G$30</c:f>
              <c:numCache>
                <c:formatCode>0%</c:formatCode>
                <c:ptCount val="4"/>
                <c:pt idx="0">
                  <c:v>0.72</c:v>
                </c:pt>
                <c:pt idx="1">
                  <c:v>0.65</c:v>
                </c:pt>
                <c:pt idx="2">
                  <c:v>0.54</c:v>
                </c:pt>
                <c:pt idx="3">
                  <c:v>0.56999999999999995</c:v>
                </c:pt>
              </c:numCache>
            </c:numRef>
          </c:val>
        </c:ser>
        <c:ser>
          <c:idx val="1"/>
          <c:order val="0"/>
          <c:tx>
            <c:strRef>
              <c:f>'GR Grad Graphs'!$A$4:$J$4</c:f>
              <c:strCache>
                <c:ptCount val="1"/>
                <c:pt idx="0">
                  <c:v>Graduate Men</c:v>
                </c:pt>
              </c:strCache>
            </c:strRef>
          </c:tx>
          <c:invertIfNegative val="0"/>
          <c:dLbls>
            <c:dLbl>
              <c:idx val="3"/>
              <c:layout>
                <c:manualLayout>
                  <c:x val="-9.0361450069322176E-3"/>
                  <c:y val="0"/>
                </c:manualLayout>
              </c:layout>
              <c:showLegendKey val="0"/>
              <c:showVal val="1"/>
              <c:showCatName val="0"/>
              <c:showSerName val="0"/>
              <c:showPercent val="0"/>
              <c:showBubbleSize val="0"/>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Graphs'!$D$6:$G$6</c:f>
              <c:numCache>
                <c:formatCode>0%</c:formatCode>
                <c:ptCount val="4"/>
                <c:pt idx="0">
                  <c:v>0.75</c:v>
                </c:pt>
                <c:pt idx="1">
                  <c:v>0.72</c:v>
                </c:pt>
                <c:pt idx="2">
                  <c:v>0.72</c:v>
                </c:pt>
                <c:pt idx="3">
                  <c:v>0.72</c:v>
                </c:pt>
              </c:numCache>
            </c:numRef>
          </c:val>
        </c:ser>
        <c:ser>
          <c:idx val="2"/>
          <c:order val="1"/>
          <c:tx>
            <c:strRef>
              <c:f>'GR Grad Graphs'!$A$8:$J$8</c:f>
              <c:strCache>
                <c:ptCount val="1"/>
                <c:pt idx="0">
                  <c:v>Graduate Women</c:v>
                </c:pt>
              </c:strCache>
            </c:strRef>
          </c:tx>
          <c:invertIfNegative val="0"/>
          <c:dLbls>
            <c:dLbl>
              <c:idx val="1"/>
              <c:layout>
                <c:manualLayout>
                  <c:x val="5.4216870041593306E-3"/>
                  <c:y val="0"/>
                </c:manualLayout>
              </c:layout>
              <c:showLegendKey val="0"/>
              <c:showVal val="1"/>
              <c:showCatName val="0"/>
              <c:showSerName val="0"/>
              <c:showPercent val="0"/>
              <c:showBubbleSize val="0"/>
            </c:dLbl>
            <c:dLbl>
              <c:idx val="2"/>
              <c:layout>
                <c:manualLayout>
                  <c:x val="7.2289160055457741E-3"/>
                  <c:y val="0"/>
                </c:manualLayout>
              </c:layout>
              <c:showLegendKey val="0"/>
              <c:showVal val="1"/>
              <c:showCatName val="0"/>
              <c:showSerName val="0"/>
              <c:showPercent val="0"/>
              <c:showBubbleSize val="0"/>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 Grad Graphs'!$D$3:$G$3</c:f>
              <c:strCache>
                <c:ptCount val="4"/>
                <c:pt idx="0">
                  <c:v>Fall 09</c:v>
                </c:pt>
                <c:pt idx="1">
                  <c:v>Spring 10</c:v>
                </c:pt>
                <c:pt idx="2">
                  <c:v>Fall 10</c:v>
                </c:pt>
                <c:pt idx="3">
                  <c:v>Spring 11</c:v>
                </c:pt>
              </c:strCache>
            </c:strRef>
          </c:cat>
          <c:val>
            <c:numRef>
              <c:f>'GR Grad Graphs'!$D$10:$G$10</c:f>
              <c:numCache>
                <c:formatCode>0%</c:formatCode>
                <c:ptCount val="4"/>
                <c:pt idx="0">
                  <c:v>0.73</c:v>
                </c:pt>
                <c:pt idx="1">
                  <c:v>0.64</c:v>
                </c:pt>
                <c:pt idx="2">
                  <c:v>0.63</c:v>
                </c:pt>
                <c:pt idx="3">
                  <c:v>0.94</c:v>
                </c:pt>
              </c:numCache>
            </c:numRef>
          </c:val>
        </c:ser>
        <c:dLbls>
          <c:showLegendKey val="0"/>
          <c:showVal val="0"/>
          <c:showCatName val="0"/>
          <c:showSerName val="0"/>
          <c:showPercent val="0"/>
          <c:showBubbleSize val="0"/>
        </c:dLbls>
        <c:gapWidth val="75"/>
        <c:axId val="100218752"/>
        <c:axId val="100220288"/>
      </c:barChart>
      <c:catAx>
        <c:axId val="100218752"/>
        <c:scaling>
          <c:orientation val="minMax"/>
        </c:scaling>
        <c:delete val="0"/>
        <c:axPos val="b"/>
        <c:majorTickMark val="none"/>
        <c:minorTickMark val="none"/>
        <c:tickLblPos val="nextTo"/>
        <c:txPr>
          <a:bodyPr/>
          <a:lstStyle/>
          <a:p>
            <a:pPr>
              <a:defRPr b="1"/>
            </a:pPr>
            <a:endParaRPr lang="en-US"/>
          </a:p>
        </c:txPr>
        <c:crossAx val="100220288"/>
        <c:crosses val="autoZero"/>
        <c:auto val="1"/>
        <c:lblAlgn val="ctr"/>
        <c:lblOffset val="100"/>
        <c:noMultiLvlLbl val="0"/>
      </c:catAx>
      <c:valAx>
        <c:axId val="100220288"/>
        <c:scaling>
          <c:orientation val="minMax"/>
        </c:scaling>
        <c:delete val="0"/>
        <c:axPos val="l"/>
        <c:majorGridlines/>
        <c:numFmt formatCode="0%" sourceLinked="1"/>
        <c:majorTickMark val="none"/>
        <c:minorTickMark val="none"/>
        <c:tickLblPos val="nextTo"/>
        <c:crossAx val="100218752"/>
        <c:crosses val="autoZero"/>
        <c:crossBetween val="between"/>
      </c:valAx>
    </c:plotArea>
    <c:legend>
      <c:legendPos val="b"/>
      <c:overlay val="0"/>
      <c:txPr>
        <a:bodyPr/>
        <a:lstStyle/>
        <a:p>
          <a:pPr>
            <a:defRPr sz="9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6B1-C0FA-470D-BD72-994A7C1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2014-01-23T17:54:00Z</cp:lastPrinted>
  <dcterms:created xsi:type="dcterms:W3CDTF">2014-06-05T16:46:00Z</dcterms:created>
  <dcterms:modified xsi:type="dcterms:W3CDTF">2014-06-05T16:46:00Z</dcterms:modified>
</cp:coreProperties>
</file>