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BE" w:rsidRDefault="007F63BE" w:rsidP="007F63BE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F4757D" w:rsidRDefault="001D2F33" w:rsidP="007F63B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College of Arts &amp; Sciences </w:t>
      </w:r>
    </w:p>
    <w:p w:rsidR="00F4757D" w:rsidRDefault="00F4757D" w:rsidP="007F63B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1</w:t>
      </w:r>
      <w:r w:rsidRPr="00F4757D">
        <w:rPr>
          <w:b/>
          <w:sz w:val="28"/>
          <w:vertAlign w:val="superscript"/>
        </w:rPr>
        <w:t>st</w:t>
      </w:r>
      <w:r>
        <w:rPr>
          <w:b/>
          <w:sz w:val="28"/>
        </w:rPr>
        <w:t xml:space="preserve"> to 3</w:t>
      </w:r>
      <w:r w:rsidRPr="00F4757D">
        <w:rPr>
          <w:b/>
          <w:sz w:val="28"/>
          <w:vertAlign w:val="superscript"/>
        </w:rPr>
        <w:t>rd</w:t>
      </w:r>
      <w:r>
        <w:rPr>
          <w:b/>
          <w:sz w:val="28"/>
        </w:rPr>
        <w:t xml:space="preserve"> Semester </w:t>
      </w:r>
      <w:r w:rsidR="001D2F33">
        <w:rPr>
          <w:b/>
          <w:sz w:val="28"/>
        </w:rPr>
        <w:t>Retention Analysis</w:t>
      </w:r>
    </w:p>
    <w:p w:rsidR="007F63BE" w:rsidRPr="00041035" w:rsidRDefault="00F4757D" w:rsidP="007F63B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For the Fall 201</w:t>
      </w:r>
      <w:r w:rsidR="00FA7810">
        <w:rPr>
          <w:b/>
          <w:sz w:val="28"/>
        </w:rPr>
        <w:t>1</w:t>
      </w:r>
      <w:r>
        <w:rPr>
          <w:b/>
          <w:sz w:val="28"/>
        </w:rPr>
        <w:t xml:space="preserve"> First-Time Full-Time Entering Freshmen Cohort</w:t>
      </w:r>
    </w:p>
    <w:p w:rsidR="007F63BE" w:rsidRPr="00CF6822" w:rsidRDefault="007F63BE" w:rsidP="007F63BE">
      <w:pPr>
        <w:spacing w:after="0" w:line="240" w:lineRule="auto"/>
        <w:jc w:val="center"/>
        <w:rPr>
          <w:i/>
        </w:rPr>
      </w:pPr>
      <w:r w:rsidRPr="00CF6822">
        <w:rPr>
          <w:i/>
        </w:rPr>
        <w:t xml:space="preserve">Wendy McEwen, </w:t>
      </w:r>
      <w:r w:rsidR="00F4757D">
        <w:rPr>
          <w:i/>
        </w:rPr>
        <w:t xml:space="preserve">Director of </w:t>
      </w:r>
      <w:r w:rsidRPr="00CF6822">
        <w:rPr>
          <w:i/>
        </w:rPr>
        <w:t xml:space="preserve">Institutional Research </w:t>
      </w:r>
    </w:p>
    <w:p w:rsidR="001303C0" w:rsidRDefault="001303C0" w:rsidP="001303C0">
      <w:pPr>
        <w:spacing w:after="0"/>
        <w:jc w:val="center"/>
        <w:rPr>
          <w:rFonts w:cs="Times New Roman"/>
          <w:sz w:val="20"/>
          <w:szCs w:val="20"/>
        </w:rPr>
      </w:pPr>
    </w:p>
    <w:p w:rsidR="00EC1FCB" w:rsidRPr="00894B5C" w:rsidRDefault="001303C0" w:rsidP="001303C0">
      <w:pPr>
        <w:spacing w:after="0"/>
        <w:rPr>
          <w:rFonts w:cs="Times New Roman"/>
          <w:sz w:val="20"/>
          <w:szCs w:val="20"/>
        </w:rPr>
      </w:pPr>
      <w:r w:rsidRPr="00894B5C">
        <w:rPr>
          <w:rFonts w:cs="Times New Roman"/>
          <w:sz w:val="20"/>
          <w:szCs w:val="20"/>
        </w:rPr>
        <w:t>In Fall</w:t>
      </w:r>
      <w:r w:rsidR="00F4757D">
        <w:rPr>
          <w:rFonts w:cs="Times New Roman"/>
          <w:sz w:val="20"/>
          <w:szCs w:val="20"/>
        </w:rPr>
        <w:t xml:space="preserve"> 201</w:t>
      </w:r>
      <w:r w:rsidR="00FA7810">
        <w:rPr>
          <w:rFonts w:cs="Times New Roman"/>
          <w:sz w:val="20"/>
          <w:szCs w:val="20"/>
        </w:rPr>
        <w:t>1</w:t>
      </w:r>
      <w:r w:rsidRPr="00894B5C">
        <w:rPr>
          <w:rFonts w:cs="Times New Roman"/>
          <w:sz w:val="20"/>
          <w:szCs w:val="20"/>
        </w:rPr>
        <w:t xml:space="preserve">, </w:t>
      </w:r>
      <w:r w:rsidR="00FA7810">
        <w:rPr>
          <w:rFonts w:cs="Times New Roman"/>
          <w:sz w:val="20"/>
          <w:szCs w:val="20"/>
        </w:rPr>
        <w:t>644</w:t>
      </w:r>
      <w:r w:rsidRPr="00894B5C">
        <w:rPr>
          <w:rFonts w:cs="Times New Roman"/>
          <w:sz w:val="20"/>
          <w:szCs w:val="20"/>
        </w:rPr>
        <w:t xml:space="preserve"> </w:t>
      </w:r>
      <w:r w:rsidR="00543EDB">
        <w:rPr>
          <w:rFonts w:cs="Times New Roman"/>
          <w:sz w:val="20"/>
          <w:szCs w:val="20"/>
        </w:rPr>
        <w:t xml:space="preserve">First-Time Full-Time (FTFT) </w:t>
      </w:r>
      <w:r w:rsidR="00E339E1">
        <w:rPr>
          <w:rFonts w:cs="Times New Roman"/>
          <w:sz w:val="20"/>
          <w:szCs w:val="20"/>
        </w:rPr>
        <w:t>Entering Freshmen</w:t>
      </w:r>
      <w:r w:rsidRPr="00894B5C">
        <w:rPr>
          <w:rFonts w:cs="Times New Roman"/>
          <w:sz w:val="20"/>
          <w:szCs w:val="20"/>
        </w:rPr>
        <w:t xml:space="preserve"> entered the College of A</w:t>
      </w:r>
      <w:r w:rsidR="00543EDB">
        <w:rPr>
          <w:rFonts w:cs="Times New Roman"/>
          <w:sz w:val="20"/>
          <w:szCs w:val="20"/>
        </w:rPr>
        <w:t xml:space="preserve">rts &amp; </w:t>
      </w:r>
      <w:r w:rsidR="00FA7810">
        <w:rPr>
          <w:rFonts w:cs="Times New Roman"/>
          <w:sz w:val="20"/>
          <w:szCs w:val="20"/>
        </w:rPr>
        <w:t xml:space="preserve">Sciences.  Of these, 626 </w:t>
      </w:r>
      <w:r w:rsidR="00F4757D">
        <w:rPr>
          <w:rFonts w:cs="Times New Roman"/>
          <w:sz w:val="20"/>
          <w:szCs w:val="20"/>
        </w:rPr>
        <w:t>(9</w:t>
      </w:r>
      <w:r w:rsidR="00FA7810">
        <w:rPr>
          <w:rFonts w:cs="Times New Roman"/>
          <w:sz w:val="20"/>
          <w:szCs w:val="20"/>
        </w:rPr>
        <w:t>7.2</w:t>
      </w:r>
      <w:r w:rsidRPr="00894B5C">
        <w:rPr>
          <w:rFonts w:cs="Times New Roman"/>
          <w:sz w:val="20"/>
          <w:szCs w:val="20"/>
        </w:rPr>
        <w:t xml:space="preserve">%) were enrolled at </w:t>
      </w:r>
      <w:r w:rsidR="000D2FB2" w:rsidRPr="00894B5C">
        <w:rPr>
          <w:rFonts w:cs="Times New Roman"/>
          <w:sz w:val="20"/>
          <w:szCs w:val="20"/>
        </w:rPr>
        <w:t>Spring C</w:t>
      </w:r>
      <w:r w:rsidR="00FA7810">
        <w:rPr>
          <w:rFonts w:cs="Times New Roman"/>
          <w:sz w:val="20"/>
          <w:szCs w:val="20"/>
        </w:rPr>
        <w:t>ensus in February 2012</w:t>
      </w:r>
      <w:r w:rsidRPr="00894B5C">
        <w:rPr>
          <w:rFonts w:cs="Times New Roman"/>
          <w:sz w:val="20"/>
          <w:szCs w:val="20"/>
        </w:rPr>
        <w:t xml:space="preserve">.  By Fall Census </w:t>
      </w:r>
      <w:r w:rsidR="00543EDB">
        <w:rPr>
          <w:rFonts w:cs="Times New Roman"/>
          <w:sz w:val="20"/>
          <w:szCs w:val="20"/>
        </w:rPr>
        <w:t xml:space="preserve">in October </w:t>
      </w:r>
      <w:r w:rsidR="00F4757D">
        <w:rPr>
          <w:rFonts w:cs="Times New Roman"/>
          <w:sz w:val="20"/>
          <w:szCs w:val="20"/>
        </w:rPr>
        <w:t>201</w:t>
      </w:r>
      <w:r w:rsidR="00FA7810">
        <w:rPr>
          <w:rFonts w:cs="Times New Roman"/>
          <w:sz w:val="20"/>
          <w:szCs w:val="20"/>
        </w:rPr>
        <w:t>2</w:t>
      </w:r>
      <w:r w:rsidRPr="00DD25D9">
        <w:rPr>
          <w:rFonts w:cs="Times New Roman"/>
          <w:sz w:val="20"/>
          <w:szCs w:val="20"/>
        </w:rPr>
        <w:t xml:space="preserve">, </w:t>
      </w:r>
      <w:r w:rsidR="00FA7810">
        <w:rPr>
          <w:rFonts w:cs="Times New Roman"/>
          <w:sz w:val="20"/>
          <w:szCs w:val="20"/>
        </w:rPr>
        <w:t>585</w:t>
      </w:r>
      <w:r w:rsidR="000D2FB2" w:rsidRPr="00DD25D9">
        <w:rPr>
          <w:rFonts w:cs="Times New Roman"/>
          <w:sz w:val="20"/>
          <w:szCs w:val="20"/>
        </w:rPr>
        <w:t xml:space="preserve"> (</w:t>
      </w:r>
      <w:r w:rsidR="00FA7810">
        <w:rPr>
          <w:rFonts w:cs="Times New Roman"/>
          <w:sz w:val="20"/>
          <w:szCs w:val="20"/>
        </w:rPr>
        <w:t>90.8</w:t>
      </w:r>
      <w:r w:rsidR="000D2FB2" w:rsidRPr="00DD25D9">
        <w:rPr>
          <w:rFonts w:cs="Times New Roman"/>
          <w:sz w:val="20"/>
          <w:szCs w:val="20"/>
        </w:rPr>
        <w:t>%) were</w:t>
      </w:r>
      <w:r w:rsidR="00F4757D">
        <w:rPr>
          <w:rFonts w:cs="Times New Roman"/>
          <w:sz w:val="20"/>
          <w:szCs w:val="20"/>
        </w:rPr>
        <w:t xml:space="preserve"> retained</w:t>
      </w:r>
      <w:r w:rsidR="00543EDB">
        <w:rPr>
          <w:rFonts w:cs="Times New Roman"/>
          <w:sz w:val="20"/>
          <w:szCs w:val="20"/>
        </w:rPr>
        <w:t xml:space="preserve">, defined as </w:t>
      </w:r>
      <w:r w:rsidR="000D2FB2" w:rsidRPr="00894B5C">
        <w:rPr>
          <w:rFonts w:cs="Times New Roman"/>
          <w:sz w:val="20"/>
          <w:szCs w:val="20"/>
        </w:rPr>
        <w:t xml:space="preserve">enrolled in </w:t>
      </w:r>
      <w:r w:rsidR="00C13F9A">
        <w:rPr>
          <w:rFonts w:cs="Times New Roman"/>
          <w:sz w:val="20"/>
          <w:szCs w:val="20"/>
        </w:rPr>
        <w:t xml:space="preserve">the </w:t>
      </w:r>
      <w:r w:rsidR="000D2FB2" w:rsidRPr="00894B5C">
        <w:rPr>
          <w:rFonts w:cs="Times New Roman"/>
          <w:sz w:val="20"/>
          <w:szCs w:val="20"/>
        </w:rPr>
        <w:t xml:space="preserve">College.  This </w:t>
      </w:r>
      <w:r w:rsidR="00E339E1">
        <w:rPr>
          <w:rFonts w:cs="Times New Roman"/>
          <w:sz w:val="20"/>
          <w:szCs w:val="20"/>
        </w:rPr>
        <w:t>1</w:t>
      </w:r>
      <w:r w:rsidR="00E339E1" w:rsidRPr="00E339E1">
        <w:rPr>
          <w:rFonts w:cs="Times New Roman"/>
          <w:sz w:val="20"/>
          <w:szCs w:val="20"/>
          <w:vertAlign w:val="superscript"/>
        </w:rPr>
        <w:t>st</w:t>
      </w:r>
      <w:r w:rsidR="00E339E1">
        <w:rPr>
          <w:rFonts w:cs="Times New Roman"/>
          <w:sz w:val="20"/>
          <w:szCs w:val="20"/>
        </w:rPr>
        <w:t xml:space="preserve"> to 3</w:t>
      </w:r>
      <w:r w:rsidR="00E339E1" w:rsidRPr="00E339E1">
        <w:rPr>
          <w:rFonts w:cs="Times New Roman"/>
          <w:sz w:val="20"/>
          <w:szCs w:val="20"/>
          <w:vertAlign w:val="superscript"/>
        </w:rPr>
        <w:t>rd</w:t>
      </w:r>
      <w:r w:rsidR="00E339E1">
        <w:rPr>
          <w:rFonts w:cs="Times New Roman"/>
          <w:sz w:val="20"/>
          <w:szCs w:val="20"/>
        </w:rPr>
        <w:t xml:space="preserve"> </w:t>
      </w:r>
      <w:r w:rsidR="002B7418" w:rsidRPr="00894B5C">
        <w:rPr>
          <w:rFonts w:cs="Times New Roman"/>
          <w:sz w:val="20"/>
          <w:szCs w:val="20"/>
        </w:rPr>
        <w:t xml:space="preserve">semester </w:t>
      </w:r>
      <w:r w:rsidR="000D2FB2" w:rsidRPr="00894B5C">
        <w:rPr>
          <w:rFonts w:cs="Times New Roman"/>
          <w:sz w:val="20"/>
          <w:szCs w:val="20"/>
        </w:rPr>
        <w:t>retention rate</w:t>
      </w:r>
      <w:r w:rsidR="00FA7810">
        <w:rPr>
          <w:rFonts w:cs="Times New Roman"/>
          <w:sz w:val="20"/>
          <w:szCs w:val="20"/>
        </w:rPr>
        <w:t>, 90.8</w:t>
      </w:r>
      <w:r w:rsidR="005B0563" w:rsidRPr="00894B5C">
        <w:rPr>
          <w:rFonts w:cs="Times New Roman"/>
          <w:sz w:val="20"/>
          <w:szCs w:val="20"/>
        </w:rPr>
        <w:t xml:space="preserve">%, </w:t>
      </w:r>
      <w:r w:rsidR="000D2FB2" w:rsidRPr="00894B5C">
        <w:rPr>
          <w:rFonts w:cs="Times New Roman"/>
          <w:sz w:val="20"/>
          <w:szCs w:val="20"/>
        </w:rPr>
        <w:t xml:space="preserve">is the </w:t>
      </w:r>
      <w:r w:rsidR="00F4757D">
        <w:rPr>
          <w:rFonts w:cs="Times New Roman"/>
          <w:sz w:val="20"/>
          <w:szCs w:val="20"/>
        </w:rPr>
        <w:t>highest</w:t>
      </w:r>
      <w:r w:rsidR="00543EDB">
        <w:rPr>
          <w:rFonts w:cs="Times New Roman"/>
          <w:sz w:val="20"/>
          <w:szCs w:val="20"/>
        </w:rPr>
        <w:t xml:space="preserve"> retention rate for </w:t>
      </w:r>
      <w:r w:rsidR="000D2FB2" w:rsidRPr="00894B5C">
        <w:rPr>
          <w:rFonts w:cs="Times New Roman"/>
          <w:sz w:val="20"/>
          <w:szCs w:val="20"/>
        </w:rPr>
        <w:t>College</w:t>
      </w:r>
      <w:r w:rsidR="00543EDB">
        <w:rPr>
          <w:rFonts w:cs="Times New Roman"/>
          <w:sz w:val="20"/>
          <w:szCs w:val="20"/>
        </w:rPr>
        <w:t xml:space="preserve"> FTFT Freshmen</w:t>
      </w:r>
      <w:r w:rsidR="000D2FB2" w:rsidRPr="00894B5C">
        <w:rPr>
          <w:rFonts w:cs="Times New Roman"/>
          <w:sz w:val="20"/>
          <w:szCs w:val="20"/>
        </w:rPr>
        <w:t xml:space="preserve"> </w:t>
      </w:r>
      <w:r w:rsidR="00F4757D">
        <w:rPr>
          <w:rFonts w:cs="Times New Roman"/>
          <w:sz w:val="20"/>
          <w:szCs w:val="20"/>
        </w:rPr>
        <w:t xml:space="preserve">since </w:t>
      </w:r>
      <w:r w:rsidR="00B1649F">
        <w:rPr>
          <w:rFonts w:cs="Times New Roman"/>
          <w:sz w:val="20"/>
          <w:szCs w:val="20"/>
        </w:rPr>
        <w:t>the first year we began tra</w:t>
      </w:r>
      <w:r w:rsidR="00543EDB">
        <w:rPr>
          <w:rFonts w:cs="Times New Roman"/>
          <w:sz w:val="20"/>
          <w:szCs w:val="20"/>
        </w:rPr>
        <w:t>cking and reporting this metric in</w:t>
      </w:r>
      <w:r w:rsidR="00B1649F">
        <w:rPr>
          <w:rFonts w:cs="Times New Roman"/>
          <w:sz w:val="20"/>
          <w:szCs w:val="20"/>
        </w:rPr>
        <w:t xml:space="preserve"> </w:t>
      </w:r>
      <w:r w:rsidR="00F4757D">
        <w:rPr>
          <w:rFonts w:cs="Times New Roman"/>
          <w:sz w:val="20"/>
          <w:szCs w:val="20"/>
        </w:rPr>
        <w:t xml:space="preserve">1995. </w:t>
      </w:r>
      <w:r w:rsidR="00F2765F">
        <w:rPr>
          <w:rFonts w:cs="Times New Roman"/>
          <w:sz w:val="20"/>
          <w:szCs w:val="20"/>
        </w:rPr>
        <w:t xml:space="preserve"> The last three years’ </w:t>
      </w:r>
      <w:r w:rsidR="00543EDB">
        <w:rPr>
          <w:rFonts w:cs="Times New Roman"/>
          <w:sz w:val="20"/>
          <w:szCs w:val="20"/>
        </w:rPr>
        <w:t>1</w:t>
      </w:r>
      <w:r w:rsidR="00543EDB" w:rsidRPr="00543EDB">
        <w:rPr>
          <w:rFonts w:cs="Times New Roman"/>
          <w:sz w:val="20"/>
          <w:szCs w:val="20"/>
          <w:vertAlign w:val="superscript"/>
        </w:rPr>
        <w:t>st</w:t>
      </w:r>
      <w:r w:rsidR="00543EDB">
        <w:rPr>
          <w:rFonts w:cs="Times New Roman"/>
          <w:sz w:val="20"/>
          <w:szCs w:val="20"/>
        </w:rPr>
        <w:t xml:space="preserve"> to 3</w:t>
      </w:r>
      <w:r w:rsidR="00543EDB" w:rsidRPr="00543EDB">
        <w:rPr>
          <w:rFonts w:cs="Times New Roman"/>
          <w:sz w:val="20"/>
          <w:szCs w:val="20"/>
          <w:vertAlign w:val="superscript"/>
        </w:rPr>
        <w:t>rd</w:t>
      </w:r>
      <w:r w:rsidR="00543EDB">
        <w:rPr>
          <w:rFonts w:cs="Times New Roman"/>
          <w:sz w:val="20"/>
          <w:szCs w:val="20"/>
        </w:rPr>
        <w:t xml:space="preserve"> semester retention </w:t>
      </w:r>
      <w:r w:rsidR="00F2765F">
        <w:rPr>
          <w:rFonts w:cs="Times New Roman"/>
          <w:sz w:val="20"/>
          <w:szCs w:val="20"/>
        </w:rPr>
        <w:t>rates are:  81.1</w:t>
      </w:r>
      <w:r w:rsidR="00F2765F" w:rsidRPr="00894B5C">
        <w:rPr>
          <w:rFonts w:cs="Times New Roman"/>
          <w:sz w:val="20"/>
          <w:szCs w:val="20"/>
        </w:rPr>
        <w:t>%</w:t>
      </w:r>
      <w:r w:rsidR="00F2765F">
        <w:rPr>
          <w:rFonts w:cs="Times New Roman"/>
          <w:sz w:val="20"/>
          <w:szCs w:val="20"/>
        </w:rPr>
        <w:t xml:space="preserve"> for </w:t>
      </w:r>
      <w:r w:rsidR="00F4757D">
        <w:rPr>
          <w:rFonts w:cs="Times New Roman"/>
          <w:sz w:val="20"/>
          <w:szCs w:val="20"/>
        </w:rPr>
        <w:t>Fall 2008 to Fall 2009</w:t>
      </w:r>
      <w:r w:rsidR="00F2765F">
        <w:rPr>
          <w:rFonts w:cs="Times New Roman"/>
          <w:sz w:val="20"/>
          <w:szCs w:val="20"/>
        </w:rPr>
        <w:t xml:space="preserve">, 86.4% for </w:t>
      </w:r>
      <w:r w:rsidR="000D2FB2" w:rsidRPr="00894B5C">
        <w:rPr>
          <w:rFonts w:cs="Times New Roman"/>
          <w:sz w:val="20"/>
          <w:szCs w:val="20"/>
        </w:rPr>
        <w:t>Fall 20</w:t>
      </w:r>
      <w:r w:rsidR="00F4757D">
        <w:rPr>
          <w:rFonts w:cs="Times New Roman"/>
          <w:sz w:val="20"/>
          <w:szCs w:val="20"/>
        </w:rPr>
        <w:t>09</w:t>
      </w:r>
      <w:r w:rsidR="000D2FB2" w:rsidRPr="00894B5C">
        <w:rPr>
          <w:rFonts w:cs="Times New Roman"/>
          <w:sz w:val="20"/>
          <w:szCs w:val="20"/>
        </w:rPr>
        <w:t xml:space="preserve"> to Fall 20</w:t>
      </w:r>
      <w:r w:rsidR="00F4757D">
        <w:rPr>
          <w:rFonts w:cs="Times New Roman"/>
          <w:sz w:val="20"/>
          <w:szCs w:val="20"/>
        </w:rPr>
        <w:t>10</w:t>
      </w:r>
      <w:r w:rsidR="00F2765F">
        <w:rPr>
          <w:rFonts w:cs="Times New Roman"/>
          <w:sz w:val="20"/>
          <w:szCs w:val="20"/>
        </w:rPr>
        <w:t xml:space="preserve">, and 87.5% for </w:t>
      </w:r>
      <w:r w:rsidR="00FA7810">
        <w:rPr>
          <w:rFonts w:cs="Times New Roman"/>
          <w:sz w:val="20"/>
          <w:szCs w:val="20"/>
        </w:rPr>
        <w:t>Fall 2010</w:t>
      </w:r>
      <w:r w:rsidR="00F2765F">
        <w:rPr>
          <w:rFonts w:cs="Times New Roman"/>
          <w:sz w:val="20"/>
          <w:szCs w:val="20"/>
        </w:rPr>
        <w:t xml:space="preserve"> to Fall 2011.  </w:t>
      </w:r>
    </w:p>
    <w:p w:rsidR="00F4757D" w:rsidRDefault="00F4757D" w:rsidP="00F4757D">
      <w:pPr>
        <w:spacing w:after="0"/>
        <w:rPr>
          <w:rFonts w:cs="Times New Roman"/>
          <w:b/>
          <w:sz w:val="20"/>
          <w:szCs w:val="20"/>
        </w:rPr>
      </w:pPr>
    </w:p>
    <w:p w:rsidR="00F4757D" w:rsidRPr="00F4757D" w:rsidRDefault="00F4757D" w:rsidP="00F4757D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Academic Preparation</w:t>
      </w:r>
      <w:r w:rsidR="00C55CDC">
        <w:rPr>
          <w:rFonts w:cs="Times New Roman"/>
          <w:b/>
          <w:sz w:val="20"/>
          <w:szCs w:val="20"/>
        </w:rPr>
        <w:t xml:space="preserve"> &amp; College Choice</w:t>
      </w:r>
    </w:p>
    <w:p w:rsidR="00F4757D" w:rsidRDefault="00F4757D" w:rsidP="001303C0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 past years, we’ve ha</w:t>
      </w:r>
      <w:r w:rsidR="00E339E1">
        <w:rPr>
          <w:rFonts w:cs="Times New Roman"/>
          <w:sz w:val="20"/>
          <w:szCs w:val="20"/>
        </w:rPr>
        <w:t xml:space="preserve">d a significant number of those </w:t>
      </w:r>
      <w:r>
        <w:rPr>
          <w:rFonts w:cs="Times New Roman"/>
          <w:sz w:val="20"/>
          <w:szCs w:val="20"/>
        </w:rPr>
        <w:t xml:space="preserve">students </w:t>
      </w:r>
      <w:r w:rsidR="00E339E1">
        <w:rPr>
          <w:rFonts w:cs="Times New Roman"/>
          <w:sz w:val="20"/>
          <w:szCs w:val="20"/>
        </w:rPr>
        <w:t xml:space="preserve">who were </w:t>
      </w:r>
      <w:r>
        <w:rPr>
          <w:rFonts w:cs="Times New Roman"/>
          <w:sz w:val="20"/>
          <w:szCs w:val="20"/>
        </w:rPr>
        <w:t xml:space="preserve">not retained </w:t>
      </w:r>
      <w:r w:rsidR="00E339E1">
        <w:rPr>
          <w:rFonts w:cs="Times New Roman"/>
          <w:sz w:val="20"/>
          <w:szCs w:val="20"/>
        </w:rPr>
        <w:t xml:space="preserve">leave </w:t>
      </w:r>
      <w:r>
        <w:rPr>
          <w:rFonts w:cs="Times New Roman"/>
          <w:sz w:val="20"/>
          <w:szCs w:val="20"/>
        </w:rPr>
        <w:t xml:space="preserve">with a </w:t>
      </w:r>
      <w:r w:rsidR="005956BC">
        <w:rPr>
          <w:rFonts w:cs="Times New Roman"/>
          <w:sz w:val="20"/>
          <w:szCs w:val="20"/>
        </w:rPr>
        <w:t xml:space="preserve">final College </w:t>
      </w:r>
      <w:r>
        <w:rPr>
          <w:rFonts w:cs="Times New Roman"/>
          <w:sz w:val="20"/>
          <w:szCs w:val="20"/>
        </w:rPr>
        <w:t>GP</w:t>
      </w:r>
      <w:r w:rsidR="00E339E1">
        <w:rPr>
          <w:rFonts w:cs="Times New Roman"/>
          <w:sz w:val="20"/>
          <w:szCs w:val="20"/>
        </w:rPr>
        <w:t>A lo</w:t>
      </w:r>
      <w:r w:rsidR="00F2765F">
        <w:rPr>
          <w:rFonts w:cs="Times New Roman"/>
          <w:sz w:val="20"/>
          <w:szCs w:val="20"/>
        </w:rPr>
        <w:t>wer than 2.0.  For the Fall 2011</w:t>
      </w:r>
      <w:r w:rsidR="00E339E1">
        <w:rPr>
          <w:rFonts w:cs="Times New Roman"/>
          <w:sz w:val="20"/>
          <w:szCs w:val="20"/>
        </w:rPr>
        <w:t xml:space="preserve"> cohort</w:t>
      </w:r>
      <w:r w:rsidR="00F2765F">
        <w:rPr>
          <w:rFonts w:cs="Times New Roman"/>
          <w:sz w:val="20"/>
          <w:szCs w:val="20"/>
        </w:rPr>
        <w:t xml:space="preserve">, however, </w:t>
      </w:r>
      <w:r w:rsidR="00543EDB">
        <w:rPr>
          <w:rFonts w:cs="Times New Roman"/>
          <w:sz w:val="20"/>
          <w:szCs w:val="20"/>
        </w:rPr>
        <w:t xml:space="preserve">only </w:t>
      </w:r>
      <w:r>
        <w:rPr>
          <w:rFonts w:cs="Times New Roman"/>
          <w:sz w:val="20"/>
          <w:szCs w:val="20"/>
        </w:rPr>
        <w:t>1</w:t>
      </w:r>
      <w:r w:rsidR="00F2765F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of the </w:t>
      </w:r>
      <w:r w:rsidR="00F2765F">
        <w:rPr>
          <w:rFonts w:cs="Times New Roman"/>
          <w:sz w:val="20"/>
          <w:szCs w:val="20"/>
        </w:rPr>
        <w:t>59</w:t>
      </w:r>
      <w:r>
        <w:rPr>
          <w:rFonts w:cs="Times New Roman"/>
          <w:sz w:val="20"/>
          <w:szCs w:val="20"/>
        </w:rPr>
        <w:t xml:space="preserve"> student</w:t>
      </w:r>
      <w:r w:rsidR="00F2765F">
        <w:rPr>
          <w:rFonts w:cs="Times New Roman"/>
          <w:sz w:val="20"/>
          <w:szCs w:val="20"/>
        </w:rPr>
        <w:t>s not retained had a low GPA (22</w:t>
      </w:r>
      <w:r w:rsidR="00543EDB">
        <w:rPr>
          <w:rFonts w:cs="Times New Roman"/>
          <w:sz w:val="20"/>
          <w:szCs w:val="20"/>
        </w:rPr>
        <w:t>.0</w:t>
      </w:r>
      <w:r>
        <w:rPr>
          <w:rFonts w:cs="Times New Roman"/>
          <w:sz w:val="20"/>
          <w:szCs w:val="20"/>
        </w:rPr>
        <w:t xml:space="preserve">% of </w:t>
      </w:r>
      <w:r w:rsidR="005956BC">
        <w:rPr>
          <w:rFonts w:cs="Times New Roman"/>
          <w:sz w:val="20"/>
          <w:szCs w:val="20"/>
        </w:rPr>
        <w:t xml:space="preserve">the </w:t>
      </w:r>
      <w:r>
        <w:rPr>
          <w:rFonts w:cs="Times New Roman"/>
          <w:sz w:val="20"/>
          <w:szCs w:val="20"/>
        </w:rPr>
        <w:t xml:space="preserve">total </w:t>
      </w:r>
      <w:r w:rsidR="00543EDB">
        <w:rPr>
          <w:rFonts w:cs="Times New Roman"/>
          <w:sz w:val="20"/>
          <w:szCs w:val="20"/>
        </w:rPr>
        <w:t>FTFT Entering Freshmen</w:t>
      </w:r>
      <w:r w:rsidR="005956BC">
        <w:rPr>
          <w:rFonts w:cs="Times New Roman"/>
          <w:sz w:val="20"/>
          <w:szCs w:val="20"/>
        </w:rPr>
        <w:t xml:space="preserve"> not retained).</w:t>
      </w:r>
      <w:r w:rsidR="00F2765F">
        <w:rPr>
          <w:rFonts w:cs="Times New Roman"/>
          <w:sz w:val="20"/>
          <w:szCs w:val="20"/>
        </w:rPr>
        <w:t xml:space="preserve">  </w:t>
      </w:r>
      <w:r w:rsidR="005956BC">
        <w:rPr>
          <w:rFonts w:cs="Times New Roman"/>
          <w:sz w:val="20"/>
          <w:szCs w:val="20"/>
        </w:rPr>
        <w:t xml:space="preserve">  Comparatively, </w:t>
      </w:r>
      <w:r w:rsidR="00543EDB">
        <w:rPr>
          <w:rFonts w:cs="Times New Roman"/>
          <w:sz w:val="20"/>
          <w:szCs w:val="20"/>
        </w:rPr>
        <w:t xml:space="preserve">17% of the </w:t>
      </w:r>
      <w:r w:rsidR="00F2765F">
        <w:rPr>
          <w:rFonts w:cs="Times New Roman"/>
          <w:sz w:val="20"/>
          <w:szCs w:val="20"/>
        </w:rPr>
        <w:t xml:space="preserve">Fall 2010 </w:t>
      </w:r>
      <w:r w:rsidR="00E339E1">
        <w:rPr>
          <w:rFonts w:cs="Times New Roman"/>
          <w:sz w:val="20"/>
          <w:szCs w:val="20"/>
        </w:rPr>
        <w:t>FTFT</w:t>
      </w:r>
      <w:r>
        <w:rPr>
          <w:rFonts w:cs="Times New Roman"/>
          <w:sz w:val="20"/>
          <w:szCs w:val="20"/>
        </w:rPr>
        <w:t xml:space="preserve"> Entering Freshmen cohort not retained</w:t>
      </w:r>
      <w:r w:rsidR="00F2765F">
        <w:rPr>
          <w:rFonts w:cs="Times New Roman"/>
          <w:sz w:val="20"/>
          <w:szCs w:val="20"/>
        </w:rPr>
        <w:t xml:space="preserve"> had a GPA lower than 2.0.  For the Fall 2009 cohort, 31% of those not retained had a GPA lower than 2.0.</w:t>
      </w:r>
    </w:p>
    <w:p w:rsidR="00F4757D" w:rsidRDefault="00F4757D" w:rsidP="001303C0">
      <w:pPr>
        <w:spacing w:after="0"/>
        <w:rPr>
          <w:rFonts w:cs="Times New Roman"/>
          <w:sz w:val="20"/>
          <w:szCs w:val="20"/>
        </w:rPr>
      </w:pPr>
    </w:p>
    <w:p w:rsidR="005956BC" w:rsidRDefault="00F2765F" w:rsidP="001303C0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Twenty-seven </w:t>
      </w:r>
      <w:r w:rsidR="005956BC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27</w:t>
      </w:r>
      <w:r w:rsidR="005956BC">
        <w:rPr>
          <w:rFonts w:cs="Times New Roman"/>
          <w:sz w:val="20"/>
          <w:szCs w:val="20"/>
        </w:rPr>
        <w:t xml:space="preserve">) of the </w:t>
      </w:r>
      <w:r>
        <w:rPr>
          <w:rFonts w:cs="Times New Roman"/>
          <w:sz w:val="20"/>
          <w:szCs w:val="20"/>
        </w:rPr>
        <w:t>59</w:t>
      </w:r>
      <w:r w:rsidR="005956BC">
        <w:rPr>
          <w:rFonts w:cs="Times New Roman"/>
          <w:sz w:val="20"/>
          <w:szCs w:val="20"/>
        </w:rPr>
        <w:t xml:space="preserve"> students not retained had a final College GPA higher than 3.0</w:t>
      </w:r>
      <w:r>
        <w:rPr>
          <w:rFonts w:cs="Times New Roman"/>
          <w:sz w:val="20"/>
          <w:szCs w:val="20"/>
        </w:rPr>
        <w:t xml:space="preserve"> (45.7%)</w:t>
      </w:r>
      <w:r w:rsidR="00966EE7">
        <w:rPr>
          <w:rFonts w:cs="Times New Roman"/>
          <w:sz w:val="20"/>
          <w:szCs w:val="20"/>
        </w:rPr>
        <w:t>, which is consistent</w:t>
      </w:r>
      <w:r>
        <w:rPr>
          <w:rFonts w:cs="Times New Roman"/>
          <w:sz w:val="20"/>
          <w:szCs w:val="20"/>
        </w:rPr>
        <w:t xml:space="preserve"> with the last several years of not-retained students.  </w:t>
      </w:r>
      <w:r w:rsidR="00966EE7">
        <w:rPr>
          <w:rFonts w:cs="Times New Roman"/>
          <w:sz w:val="20"/>
          <w:szCs w:val="20"/>
        </w:rPr>
        <w:t>For the 27</w:t>
      </w:r>
      <w:r w:rsidR="005956BC">
        <w:rPr>
          <w:rFonts w:cs="Times New Roman"/>
          <w:sz w:val="20"/>
          <w:szCs w:val="20"/>
        </w:rPr>
        <w:t xml:space="preserve"> students not retained </w:t>
      </w:r>
      <w:r w:rsidR="00966EE7">
        <w:rPr>
          <w:rFonts w:cs="Times New Roman"/>
          <w:sz w:val="20"/>
          <w:szCs w:val="20"/>
        </w:rPr>
        <w:t>with strong GPAs, 12 (44.4</w:t>
      </w:r>
      <w:r w:rsidR="005956BC">
        <w:rPr>
          <w:rFonts w:cs="Times New Roman"/>
          <w:sz w:val="20"/>
          <w:szCs w:val="20"/>
        </w:rPr>
        <w:t>%) reported that the College was their 3</w:t>
      </w:r>
      <w:r w:rsidR="005956BC" w:rsidRPr="005956BC">
        <w:rPr>
          <w:rFonts w:cs="Times New Roman"/>
          <w:sz w:val="20"/>
          <w:szCs w:val="20"/>
          <w:vertAlign w:val="superscript"/>
        </w:rPr>
        <w:t>rd</w:t>
      </w:r>
      <w:r w:rsidR="005956BC">
        <w:rPr>
          <w:rFonts w:cs="Times New Roman"/>
          <w:sz w:val="20"/>
          <w:szCs w:val="20"/>
        </w:rPr>
        <w:t xml:space="preserve"> or 4</w:t>
      </w:r>
      <w:r w:rsidR="005956BC" w:rsidRPr="005956BC">
        <w:rPr>
          <w:rFonts w:cs="Times New Roman"/>
          <w:sz w:val="20"/>
          <w:szCs w:val="20"/>
          <w:vertAlign w:val="superscript"/>
        </w:rPr>
        <w:t>th</w:t>
      </w:r>
      <w:r w:rsidR="005956BC">
        <w:rPr>
          <w:rFonts w:cs="Times New Roman"/>
          <w:sz w:val="20"/>
          <w:szCs w:val="20"/>
        </w:rPr>
        <w:t xml:space="preserve"> choice for admissions when the</w:t>
      </w:r>
      <w:r w:rsidR="002A58C3">
        <w:rPr>
          <w:rFonts w:cs="Times New Roman"/>
          <w:sz w:val="20"/>
          <w:szCs w:val="20"/>
        </w:rPr>
        <w:t>y</w:t>
      </w:r>
      <w:r w:rsidR="005956BC">
        <w:rPr>
          <w:rFonts w:cs="Times New Roman"/>
          <w:sz w:val="20"/>
          <w:szCs w:val="20"/>
        </w:rPr>
        <w:t xml:space="preserve"> responded to the Higher Education Research Institute’s (HERI) Cooperative Institutional Research Program (CIRP) Freshm</w:t>
      </w:r>
      <w:r w:rsidR="00966EE7">
        <w:rPr>
          <w:rFonts w:cs="Times New Roman"/>
          <w:sz w:val="20"/>
          <w:szCs w:val="20"/>
        </w:rPr>
        <w:t>an Survey (TFS)</w:t>
      </w:r>
      <w:r w:rsidR="005956BC">
        <w:rPr>
          <w:rFonts w:cs="Times New Roman"/>
          <w:sz w:val="20"/>
          <w:szCs w:val="20"/>
        </w:rPr>
        <w:t xml:space="preserve">.  </w:t>
      </w:r>
    </w:p>
    <w:p w:rsidR="005956BC" w:rsidRDefault="005956BC" w:rsidP="001303C0">
      <w:pPr>
        <w:spacing w:after="0"/>
        <w:rPr>
          <w:rFonts w:cs="Times New Roman"/>
          <w:sz w:val="20"/>
          <w:szCs w:val="20"/>
        </w:rPr>
      </w:pPr>
    </w:p>
    <w:p w:rsidR="005956BC" w:rsidRDefault="008B0F44" w:rsidP="001303C0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Graph 1 displays </w:t>
      </w:r>
      <w:r w:rsidR="005956BC">
        <w:rPr>
          <w:rFonts w:cs="Times New Roman"/>
          <w:sz w:val="20"/>
          <w:szCs w:val="20"/>
        </w:rPr>
        <w:t xml:space="preserve">a summary of College Choice for all the New Freshmen and Graph 2 </w:t>
      </w:r>
      <w:r>
        <w:rPr>
          <w:rFonts w:cs="Times New Roman"/>
          <w:sz w:val="20"/>
          <w:szCs w:val="20"/>
        </w:rPr>
        <w:t xml:space="preserve">displays a </w:t>
      </w:r>
      <w:r w:rsidR="000D0CFC">
        <w:rPr>
          <w:rFonts w:cs="Times New Roman"/>
          <w:sz w:val="20"/>
          <w:szCs w:val="20"/>
        </w:rPr>
        <w:t>summary for only those freshmen</w:t>
      </w:r>
      <w:r w:rsidR="005956BC">
        <w:rPr>
          <w:rFonts w:cs="Times New Roman"/>
          <w:sz w:val="20"/>
          <w:szCs w:val="20"/>
        </w:rPr>
        <w:t xml:space="preserve"> not retained.  </w:t>
      </w:r>
    </w:p>
    <w:p w:rsidR="00775BBE" w:rsidRDefault="00775BBE" w:rsidP="001303C0">
      <w:pPr>
        <w:spacing w:after="0"/>
        <w:rPr>
          <w:rFonts w:cs="Times New Roman"/>
          <w:sz w:val="20"/>
          <w:szCs w:val="20"/>
        </w:rPr>
      </w:pPr>
    </w:p>
    <w:p w:rsidR="00775BBE" w:rsidRPr="00775BBE" w:rsidRDefault="00966EE7" w:rsidP="001303C0">
      <w:pPr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</w:t>
      </w:r>
      <w:r w:rsidR="00775BBE" w:rsidRPr="00775BBE">
        <w:rPr>
          <w:rFonts w:cs="Times New Roman"/>
          <w:b/>
          <w:sz w:val="20"/>
          <w:szCs w:val="20"/>
        </w:rPr>
        <w:t>Graph</w:t>
      </w:r>
      <w:r w:rsidR="00775BBE">
        <w:rPr>
          <w:rFonts w:cs="Times New Roman"/>
          <w:b/>
          <w:sz w:val="20"/>
          <w:szCs w:val="20"/>
        </w:rPr>
        <w:t xml:space="preserve"> </w:t>
      </w:r>
      <w:r w:rsidR="000D0CFC">
        <w:rPr>
          <w:rFonts w:cs="Times New Roman"/>
          <w:b/>
          <w:sz w:val="20"/>
          <w:szCs w:val="20"/>
        </w:rPr>
        <w:t xml:space="preserve"> 1 </w:t>
      </w:r>
      <w:r w:rsidR="00775BBE" w:rsidRPr="00775BBE">
        <w:rPr>
          <w:rFonts w:cs="Times New Roman"/>
          <w:b/>
          <w:sz w:val="20"/>
          <w:szCs w:val="20"/>
        </w:rPr>
        <w:t>All  First-Time Full-Time Entering Freshmen</w:t>
      </w:r>
      <w:r>
        <w:rPr>
          <w:rFonts w:cs="Times New Roman"/>
          <w:b/>
          <w:sz w:val="20"/>
          <w:szCs w:val="20"/>
        </w:rPr>
        <w:t xml:space="preserve">                       </w:t>
      </w:r>
      <w:r w:rsidR="008B0F44" w:rsidRPr="00775BBE">
        <w:rPr>
          <w:rFonts w:cs="Times New Roman"/>
          <w:b/>
          <w:sz w:val="20"/>
          <w:szCs w:val="20"/>
        </w:rPr>
        <w:t>Graph</w:t>
      </w:r>
      <w:r w:rsidR="008B0F44">
        <w:rPr>
          <w:rFonts w:cs="Times New Roman"/>
          <w:b/>
          <w:sz w:val="20"/>
          <w:szCs w:val="20"/>
        </w:rPr>
        <w:t xml:space="preserve"> </w:t>
      </w:r>
      <w:r w:rsidR="008B0F44" w:rsidRPr="00775BBE">
        <w:rPr>
          <w:rFonts w:cs="Times New Roman"/>
          <w:b/>
          <w:sz w:val="20"/>
          <w:szCs w:val="20"/>
        </w:rPr>
        <w:t xml:space="preserve"> </w:t>
      </w:r>
      <w:r w:rsidR="008B0F44">
        <w:rPr>
          <w:rFonts w:cs="Times New Roman"/>
          <w:b/>
          <w:sz w:val="20"/>
          <w:szCs w:val="20"/>
        </w:rPr>
        <w:t>2 FTF</w:t>
      </w:r>
      <w:r w:rsidR="008B0F44" w:rsidRPr="00775BBE">
        <w:rPr>
          <w:rFonts w:cs="Times New Roman"/>
          <w:b/>
          <w:sz w:val="20"/>
          <w:szCs w:val="20"/>
        </w:rPr>
        <w:t>T Entering Freshmen</w:t>
      </w:r>
      <w:r w:rsidR="008B0F44">
        <w:rPr>
          <w:rFonts w:cs="Times New Roman"/>
          <w:b/>
          <w:sz w:val="20"/>
          <w:szCs w:val="20"/>
        </w:rPr>
        <w:t xml:space="preserve"> Not Retained</w:t>
      </w:r>
    </w:p>
    <w:p w:rsidR="00775BBE" w:rsidRDefault="008B0F44" w:rsidP="001303C0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543EDB" w:rsidRPr="00543EDB">
        <w:rPr>
          <w:rFonts w:cs="Times New Roman"/>
          <w:noProof/>
          <w:sz w:val="20"/>
          <w:szCs w:val="20"/>
        </w:rPr>
        <w:drawing>
          <wp:inline distT="0" distB="0" distL="0" distR="0">
            <wp:extent cx="3333750" cy="21431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43EDB" w:rsidRPr="00543EDB">
        <w:rPr>
          <w:rFonts w:cs="Times New Roman"/>
          <w:noProof/>
          <w:sz w:val="20"/>
          <w:szCs w:val="20"/>
        </w:rPr>
        <w:drawing>
          <wp:inline distT="0" distB="0" distL="0" distR="0">
            <wp:extent cx="3324225" cy="2143125"/>
            <wp:effectExtent l="19050" t="0" r="9525" b="0"/>
            <wp:docPr id="4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290" w:rsidRDefault="00A62290" w:rsidP="00775BBE">
      <w:pPr>
        <w:spacing w:after="0"/>
        <w:rPr>
          <w:rFonts w:cs="Times New Roman"/>
          <w:b/>
          <w:sz w:val="20"/>
          <w:szCs w:val="20"/>
        </w:rPr>
      </w:pPr>
    </w:p>
    <w:p w:rsidR="002515D6" w:rsidRPr="002515D6" w:rsidRDefault="002515D6" w:rsidP="001303C0">
      <w:pPr>
        <w:spacing w:after="0"/>
        <w:rPr>
          <w:rFonts w:cs="Times New Roman"/>
          <w:b/>
          <w:sz w:val="20"/>
          <w:szCs w:val="20"/>
        </w:rPr>
      </w:pPr>
      <w:r w:rsidRPr="002515D6">
        <w:rPr>
          <w:rFonts w:cs="Times New Roman"/>
          <w:b/>
          <w:sz w:val="20"/>
          <w:szCs w:val="20"/>
        </w:rPr>
        <w:t>Gender</w:t>
      </w:r>
      <w:r w:rsidR="00E672D5">
        <w:rPr>
          <w:rFonts w:cs="Times New Roman"/>
          <w:b/>
          <w:sz w:val="20"/>
          <w:szCs w:val="20"/>
        </w:rPr>
        <w:t xml:space="preserve">, Financial, and </w:t>
      </w:r>
      <w:r w:rsidR="00E339E1">
        <w:rPr>
          <w:rFonts w:cs="Times New Roman"/>
          <w:b/>
          <w:sz w:val="20"/>
          <w:szCs w:val="20"/>
        </w:rPr>
        <w:t xml:space="preserve">Race/ </w:t>
      </w:r>
      <w:r w:rsidR="001F2402">
        <w:rPr>
          <w:rFonts w:cs="Times New Roman"/>
          <w:b/>
          <w:sz w:val="20"/>
          <w:szCs w:val="20"/>
        </w:rPr>
        <w:t>E</w:t>
      </w:r>
      <w:r>
        <w:rPr>
          <w:rFonts w:cs="Times New Roman"/>
          <w:b/>
          <w:sz w:val="20"/>
          <w:szCs w:val="20"/>
        </w:rPr>
        <w:t>thnicity</w:t>
      </w:r>
      <w:r w:rsidR="00E672D5">
        <w:rPr>
          <w:rFonts w:cs="Times New Roman"/>
          <w:b/>
          <w:sz w:val="20"/>
          <w:szCs w:val="20"/>
        </w:rPr>
        <w:t xml:space="preserve"> Characteristics</w:t>
      </w:r>
    </w:p>
    <w:p w:rsidR="00F7307F" w:rsidRDefault="00966EE7" w:rsidP="001303C0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The</w:t>
      </w:r>
      <w:r w:rsidR="002515D6">
        <w:rPr>
          <w:rFonts w:cs="Times New Roman"/>
          <w:sz w:val="20"/>
          <w:szCs w:val="20"/>
        </w:rPr>
        <w:t xml:space="preserve"> retention rate for men was strong</w:t>
      </w:r>
      <w:r w:rsidR="00F7307F">
        <w:rPr>
          <w:rFonts w:cs="Times New Roman"/>
          <w:sz w:val="20"/>
          <w:szCs w:val="20"/>
        </w:rPr>
        <w:t xml:space="preserve"> for the Fall 201</w:t>
      </w:r>
      <w:r>
        <w:rPr>
          <w:rFonts w:cs="Times New Roman"/>
          <w:sz w:val="20"/>
          <w:szCs w:val="20"/>
        </w:rPr>
        <w:t>1</w:t>
      </w:r>
      <w:r w:rsidR="00F7307F">
        <w:rPr>
          <w:rFonts w:cs="Times New Roman"/>
          <w:sz w:val="20"/>
          <w:szCs w:val="20"/>
        </w:rPr>
        <w:t xml:space="preserve"> FTFT Entering Freshmen cohort</w:t>
      </w:r>
      <w:r>
        <w:rPr>
          <w:rFonts w:cs="Times New Roman"/>
          <w:sz w:val="20"/>
          <w:szCs w:val="20"/>
        </w:rPr>
        <w:t>.  Twenty-seven (27</w:t>
      </w:r>
      <w:r w:rsidR="002515D6">
        <w:rPr>
          <w:rFonts w:cs="Times New Roman"/>
          <w:sz w:val="20"/>
          <w:szCs w:val="20"/>
        </w:rPr>
        <w:t>) of the 2</w:t>
      </w:r>
      <w:r>
        <w:rPr>
          <w:rFonts w:cs="Times New Roman"/>
          <w:sz w:val="20"/>
          <w:szCs w:val="20"/>
        </w:rPr>
        <w:t>69</w:t>
      </w:r>
      <w:r w:rsidR="002515D6">
        <w:rPr>
          <w:rFonts w:cs="Times New Roman"/>
          <w:sz w:val="20"/>
          <w:szCs w:val="20"/>
        </w:rPr>
        <w:t xml:space="preserve"> men who </w:t>
      </w:r>
      <w:r>
        <w:rPr>
          <w:rFonts w:cs="Times New Roman"/>
          <w:sz w:val="20"/>
          <w:szCs w:val="20"/>
        </w:rPr>
        <w:t>started as freshmen in Fall 2011</w:t>
      </w:r>
      <w:r w:rsidR="002515D6">
        <w:rPr>
          <w:rFonts w:cs="Times New Roman"/>
          <w:sz w:val="20"/>
          <w:szCs w:val="20"/>
        </w:rPr>
        <w:t xml:space="preserve"> did not return in Fal</w:t>
      </w:r>
      <w:r w:rsidR="00F7307F">
        <w:rPr>
          <w:rFonts w:cs="Times New Roman"/>
          <w:sz w:val="20"/>
          <w:szCs w:val="20"/>
        </w:rPr>
        <w:t>l 201</w:t>
      </w:r>
      <w:r>
        <w:rPr>
          <w:rFonts w:cs="Times New Roman"/>
          <w:sz w:val="20"/>
          <w:szCs w:val="20"/>
        </w:rPr>
        <w:t>2</w:t>
      </w:r>
      <w:r w:rsidR="00F7307F">
        <w:rPr>
          <w:rFonts w:cs="Times New Roman"/>
          <w:sz w:val="20"/>
          <w:szCs w:val="20"/>
        </w:rPr>
        <w:t xml:space="preserve"> for a retention rate of </w:t>
      </w:r>
      <w:r>
        <w:rPr>
          <w:rFonts w:cs="Times New Roman"/>
          <w:sz w:val="20"/>
          <w:szCs w:val="20"/>
        </w:rPr>
        <w:t>90.0</w:t>
      </w:r>
      <w:r w:rsidR="002515D6">
        <w:rPr>
          <w:rFonts w:cs="Times New Roman"/>
          <w:sz w:val="20"/>
          <w:szCs w:val="20"/>
        </w:rPr>
        <w:t>%.  Our</w:t>
      </w:r>
      <w:r>
        <w:rPr>
          <w:rFonts w:cs="Times New Roman"/>
          <w:sz w:val="20"/>
          <w:szCs w:val="20"/>
        </w:rPr>
        <w:t xml:space="preserve"> women’s retention rate was 91.5%. </w:t>
      </w:r>
    </w:p>
    <w:p w:rsidR="00E339E1" w:rsidRDefault="00E339E1" w:rsidP="001303C0">
      <w:pPr>
        <w:spacing w:after="0"/>
        <w:rPr>
          <w:rFonts w:cs="Times New Roman"/>
          <w:sz w:val="20"/>
          <w:szCs w:val="20"/>
        </w:rPr>
      </w:pPr>
    </w:p>
    <w:p w:rsidR="002515D6" w:rsidRDefault="00966EE7" w:rsidP="001303C0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As with past years, our </w:t>
      </w:r>
      <w:r w:rsidR="00F7307F">
        <w:rPr>
          <w:rFonts w:cs="Times New Roman"/>
          <w:sz w:val="20"/>
          <w:szCs w:val="20"/>
        </w:rPr>
        <w:t>Cal Grant retention rate for the Fall 201</w:t>
      </w:r>
      <w:r>
        <w:rPr>
          <w:rFonts w:cs="Times New Roman"/>
          <w:sz w:val="20"/>
          <w:szCs w:val="20"/>
        </w:rPr>
        <w:t>1</w:t>
      </w:r>
      <w:r w:rsidR="00F7307F">
        <w:rPr>
          <w:rFonts w:cs="Times New Roman"/>
          <w:sz w:val="20"/>
          <w:szCs w:val="20"/>
        </w:rPr>
        <w:t xml:space="preserve"> FTFT Entering Freshmen cohort was 95.</w:t>
      </w:r>
      <w:r>
        <w:rPr>
          <w:rFonts w:cs="Times New Roman"/>
          <w:sz w:val="20"/>
          <w:szCs w:val="20"/>
        </w:rPr>
        <w:t>0</w:t>
      </w:r>
      <w:r w:rsidR="00F7307F">
        <w:rPr>
          <w:rFonts w:cs="Times New Roman"/>
          <w:sz w:val="20"/>
          <w:szCs w:val="20"/>
        </w:rPr>
        <w:t>%.  This is a very strong ra</w:t>
      </w:r>
      <w:r>
        <w:rPr>
          <w:rFonts w:cs="Times New Roman"/>
          <w:sz w:val="20"/>
          <w:szCs w:val="20"/>
        </w:rPr>
        <w:t>te and higher than the 89.2</w:t>
      </w:r>
      <w:r w:rsidR="00F7307F">
        <w:rPr>
          <w:rFonts w:cs="Times New Roman"/>
          <w:sz w:val="20"/>
          <w:szCs w:val="20"/>
        </w:rPr>
        <w:t>% retention ra</w:t>
      </w:r>
      <w:r w:rsidR="00416E2A">
        <w:rPr>
          <w:rFonts w:cs="Times New Roman"/>
          <w:sz w:val="20"/>
          <w:szCs w:val="20"/>
        </w:rPr>
        <w:t>te for non</w:t>
      </w:r>
      <w:r w:rsidR="002A58C3">
        <w:rPr>
          <w:rFonts w:cs="Times New Roman"/>
          <w:sz w:val="20"/>
          <w:szCs w:val="20"/>
        </w:rPr>
        <w:t>-</w:t>
      </w:r>
      <w:r w:rsidR="00416E2A">
        <w:rPr>
          <w:rFonts w:cs="Times New Roman"/>
          <w:sz w:val="20"/>
          <w:szCs w:val="20"/>
        </w:rPr>
        <w:t xml:space="preserve">Cal Grant students.  </w:t>
      </w:r>
      <w:r>
        <w:rPr>
          <w:rFonts w:cs="Times New Roman"/>
          <w:sz w:val="20"/>
          <w:szCs w:val="20"/>
        </w:rPr>
        <w:t>Fall 2011’s cohort had 179 Cal Grant students, the highest number ever and 27.8% of the overall class.  The positive retention rate for Cal Grant students combined with the large number of these students is one critical component of our strong retention rate.  See Grap</w:t>
      </w:r>
      <w:r w:rsidR="00416E2A">
        <w:rPr>
          <w:rFonts w:cs="Times New Roman"/>
          <w:sz w:val="20"/>
          <w:szCs w:val="20"/>
        </w:rPr>
        <w:t xml:space="preserve">h 3 </w:t>
      </w:r>
      <w:r>
        <w:rPr>
          <w:rFonts w:cs="Times New Roman"/>
          <w:sz w:val="20"/>
          <w:szCs w:val="20"/>
        </w:rPr>
        <w:t xml:space="preserve">for </w:t>
      </w:r>
      <w:r w:rsidR="00416E2A">
        <w:rPr>
          <w:rFonts w:cs="Times New Roman"/>
          <w:sz w:val="20"/>
          <w:szCs w:val="20"/>
        </w:rPr>
        <w:t>the retention rate by financial characteristics for the last two cohorts.</w:t>
      </w:r>
    </w:p>
    <w:p w:rsidR="00416E2A" w:rsidRDefault="00416E2A" w:rsidP="001303C0">
      <w:pPr>
        <w:spacing w:after="0"/>
        <w:rPr>
          <w:rFonts w:cs="Times New Roman"/>
          <w:sz w:val="20"/>
          <w:szCs w:val="20"/>
        </w:rPr>
      </w:pPr>
    </w:p>
    <w:p w:rsidR="00966EE7" w:rsidRDefault="00966EE7" w:rsidP="001303C0">
      <w:pPr>
        <w:spacing w:after="0"/>
        <w:rPr>
          <w:rFonts w:cs="Times New Roman"/>
          <w:sz w:val="20"/>
          <w:szCs w:val="20"/>
        </w:rPr>
      </w:pPr>
    </w:p>
    <w:p w:rsidR="00B13B2E" w:rsidRDefault="00B13B2E" w:rsidP="001303C0">
      <w:pPr>
        <w:spacing w:after="0"/>
        <w:rPr>
          <w:rFonts w:cs="Times New Roman"/>
          <w:b/>
          <w:sz w:val="20"/>
          <w:szCs w:val="20"/>
        </w:rPr>
      </w:pPr>
    </w:p>
    <w:p w:rsidR="00E672D5" w:rsidRDefault="00416E2A" w:rsidP="001303C0">
      <w:pPr>
        <w:spacing w:after="0"/>
        <w:rPr>
          <w:rFonts w:cs="Times New Roman"/>
          <w:b/>
          <w:sz w:val="20"/>
          <w:szCs w:val="20"/>
        </w:rPr>
      </w:pPr>
      <w:r w:rsidRPr="00416E2A">
        <w:rPr>
          <w:rFonts w:cs="Times New Roman"/>
          <w:b/>
          <w:sz w:val="20"/>
          <w:szCs w:val="20"/>
        </w:rPr>
        <w:t>Graph 3  Retention Rates for Cal Grant, Non Cal Grant, Pell Grant, Non Pell Grant, First Generation, and Non First Generation</w:t>
      </w:r>
    </w:p>
    <w:p w:rsidR="00543EDB" w:rsidRPr="00416E2A" w:rsidRDefault="00543EDB" w:rsidP="001303C0">
      <w:pPr>
        <w:spacing w:after="0"/>
        <w:rPr>
          <w:rFonts w:cs="Times New Roman"/>
          <w:b/>
          <w:sz w:val="20"/>
          <w:szCs w:val="20"/>
        </w:rPr>
      </w:pPr>
    </w:p>
    <w:p w:rsidR="00E672D5" w:rsidRDefault="00543EDB" w:rsidP="00E672D5">
      <w:pPr>
        <w:spacing w:after="0"/>
        <w:jc w:val="center"/>
        <w:rPr>
          <w:rFonts w:cs="Times New Roman"/>
          <w:sz w:val="20"/>
          <w:szCs w:val="20"/>
        </w:rPr>
      </w:pPr>
      <w:r w:rsidRPr="00543EDB">
        <w:rPr>
          <w:rFonts w:cs="Times New Roman"/>
          <w:noProof/>
          <w:sz w:val="20"/>
          <w:szCs w:val="20"/>
        </w:rPr>
        <w:drawing>
          <wp:inline distT="0" distB="0" distL="0" distR="0">
            <wp:extent cx="5648325" cy="2552700"/>
            <wp:effectExtent l="19050" t="0" r="9525" b="0"/>
            <wp:docPr id="6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7307F" w:rsidRDefault="00F7307F" w:rsidP="00F7307F">
      <w:pPr>
        <w:spacing w:after="0"/>
        <w:rPr>
          <w:rFonts w:cs="Times New Roman"/>
          <w:sz w:val="20"/>
          <w:szCs w:val="20"/>
        </w:rPr>
      </w:pPr>
    </w:p>
    <w:p w:rsidR="00F7307F" w:rsidRDefault="009E75B4" w:rsidP="00F7307F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Many of our first-</w:t>
      </w:r>
      <w:r w:rsidR="00416E2A">
        <w:rPr>
          <w:rFonts w:cs="Times New Roman"/>
          <w:sz w:val="20"/>
          <w:szCs w:val="20"/>
        </w:rPr>
        <w:t>generation and Hispanic students also</w:t>
      </w:r>
      <w:r w:rsidR="00764F39">
        <w:rPr>
          <w:rFonts w:cs="Times New Roman"/>
          <w:sz w:val="20"/>
          <w:szCs w:val="20"/>
        </w:rPr>
        <w:t xml:space="preserve"> receive Cal Grants.  Our </w:t>
      </w:r>
      <w:r w:rsidR="00416E2A">
        <w:rPr>
          <w:rFonts w:cs="Times New Roman"/>
          <w:sz w:val="20"/>
          <w:szCs w:val="20"/>
        </w:rPr>
        <w:t>Hispanic retention rate is also very good.  See</w:t>
      </w:r>
      <w:r w:rsidR="00764F39">
        <w:rPr>
          <w:rFonts w:cs="Times New Roman"/>
          <w:sz w:val="20"/>
          <w:szCs w:val="20"/>
        </w:rPr>
        <w:t xml:space="preserve"> Graph 4 for retention by race/</w:t>
      </w:r>
      <w:r w:rsidR="00416E2A">
        <w:rPr>
          <w:rFonts w:cs="Times New Roman"/>
          <w:sz w:val="20"/>
          <w:szCs w:val="20"/>
        </w:rPr>
        <w:t xml:space="preserve">ethnicity.  </w:t>
      </w:r>
      <w:r>
        <w:rPr>
          <w:rFonts w:cs="Times New Roman"/>
          <w:sz w:val="20"/>
          <w:szCs w:val="20"/>
        </w:rPr>
        <w:t>As with prior years, o</w:t>
      </w:r>
      <w:r w:rsidR="00F7307F">
        <w:rPr>
          <w:rFonts w:cs="Times New Roman"/>
          <w:sz w:val="20"/>
          <w:szCs w:val="20"/>
        </w:rPr>
        <w:t xml:space="preserve">ne </w:t>
      </w:r>
      <w:r w:rsidR="00416E2A">
        <w:rPr>
          <w:rFonts w:cs="Times New Roman"/>
          <w:sz w:val="20"/>
          <w:szCs w:val="20"/>
        </w:rPr>
        <w:t>unusual thing to note in Graph 4</w:t>
      </w:r>
      <w:r w:rsidR="00F7307F">
        <w:rPr>
          <w:rFonts w:cs="Times New Roman"/>
          <w:sz w:val="20"/>
          <w:szCs w:val="20"/>
        </w:rPr>
        <w:t xml:space="preserve"> is that the retention rate for our Asian population is lower than our overall rate.    This contrasts with many schools’ experiences where Asian students are retained and graduated at a higher rate than most ethnicities.   </w:t>
      </w:r>
    </w:p>
    <w:p w:rsidR="00F7307F" w:rsidRDefault="00F7307F" w:rsidP="001303C0">
      <w:pPr>
        <w:spacing w:after="0"/>
        <w:rPr>
          <w:rFonts w:cs="Times New Roman"/>
          <w:b/>
          <w:sz w:val="20"/>
          <w:szCs w:val="20"/>
        </w:rPr>
      </w:pPr>
    </w:p>
    <w:p w:rsidR="002515D6" w:rsidRDefault="001F2402" w:rsidP="001303C0">
      <w:pPr>
        <w:spacing w:after="0"/>
        <w:rPr>
          <w:rFonts w:cs="Times New Roman"/>
          <w:b/>
          <w:sz w:val="20"/>
          <w:szCs w:val="20"/>
        </w:rPr>
      </w:pPr>
      <w:r w:rsidRPr="00300A9C">
        <w:rPr>
          <w:rFonts w:cs="Times New Roman"/>
          <w:b/>
          <w:sz w:val="20"/>
          <w:szCs w:val="20"/>
        </w:rPr>
        <w:t>Graph</w:t>
      </w:r>
      <w:r>
        <w:rPr>
          <w:rFonts w:cs="Times New Roman"/>
          <w:sz w:val="20"/>
          <w:szCs w:val="20"/>
        </w:rPr>
        <w:t xml:space="preserve"> </w:t>
      </w:r>
      <w:r w:rsidR="00416E2A">
        <w:rPr>
          <w:rFonts w:cs="Times New Roman"/>
          <w:b/>
          <w:sz w:val="20"/>
          <w:szCs w:val="20"/>
        </w:rPr>
        <w:t>4</w:t>
      </w:r>
      <w:r w:rsidR="00300A9C">
        <w:rPr>
          <w:rFonts w:cs="Times New Roman"/>
          <w:b/>
          <w:sz w:val="20"/>
          <w:szCs w:val="20"/>
        </w:rPr>
        <w:t xml:space="preserve"> </w:t>
      </w:r>
      <w:r w:rsidR="00764F39">
        <w:rPr>
          <w:rFonts w:cs="Times New Roman"/>
          <w:b/>
          <w:sz w:val="20"/>
          <w:szCs w:val="20"/>
        </w:rPr>
        <w:t xml:space="preserve">Retention by Race / </w:t>
      </w:r>
      <w:r w:rsidRPr="00300A9C">
        <w:rPr>
          <w:rFonts w:cs="Times New Roman"/>
          <w:b/>
          <w:sz w:val="20"/>
          <w:szCs w:val="20"/>
        </w:rPr>
        <w:t>Ethnicity</w:t>
      </w:r>
    </w:p>
    <w:p w:rsidR="00B13B2E" w:rsidRPr="00B13B2E" w:rsidRDefault="00B13B2E" w:rsidP="001303C0">
      <w:pPr>
        <w:spacing w:after="0"/>
        <w:rPr>
          <w:rFonts w:cs="Times New Roman"/>
          <w:b/>
          <w:sz w:val="16"/>
          <w:szCs w:val="16"/>
        </w:rPr>
      </w:pPr>
    </w:p>
    <w:p w:rsidR="00300A9C" w:rsidRDefault="00000331" w:rsidP="00000331">
      <w:pPr>
        <w:spacing w:after="0"/>
        <w:jc w:val="center"/>
        <w:rPr>
          <w:rFonts w:cs="Times New Roman"/>
          <w:sz w:val="20"/>
          <w:szCs w:val="20"/>
        </w:rPr>
      </w:pPr>
      <w:r w:rsidRPr="00000331">
        <w:rPr>
          <w:rFonts w:cs="Times New Roman"/>
          <w:noProof/>
          <w:sz w:val="20"/>
          <w:szCs w:val="20"/>
        </w:rPr>
        <w:drawing>
          <wp:inline distT="0" distB="0" distL="0" distR="0">
            <wp:extent cx="5717516" cy="2631057"/>
            <wp:effectExtent l="19050" t="0" r="16534" b="0"/>
            <wp:docPr id="9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00331" w:rsidRDefault="00000331" w:rsidP="00300A9C">
      <w:pPr>
        <w:spacing w:after="0"/>
        <w:rPr>
          <w:rFonts w:cs="Times New Roman"/>
          <w:b/>
          <w:sz w:val="20"/>
          <w:szCs w:val="20"/>
        </w:rPr>
      </w:pPr>
    </w:p>
    <w:p w:rsidR="00300A9C" w:rsidRDefault="005F2A88" w:rsidP="00300A9C">
      <w:pPr>
        <w:spacing w:after="0"/>
        <w:rPr>
          <w:rFonts w:cs="Times New Roman"/>
          <w:b/>
          <w:sz w:val="20"/>
          <w:szCs w:val="20"/>
        </w:rPr>
      </w:pPr>
      <w:r w:rsidRPr="005F2A88">
        <w:rPr>
          <w:rFonts w:cs="Times New Roman"/>
          <w:b/>
          <w:sz w:val="20"/>
          <w:szCs w:val="20"/>
        </w:rPr>
        <w:t>Conclusion</w:t>
      </w:r>
    </w:p>
    <w:p w:rsidR="00764F39" w:rsidRPr="005F2A88" w:rsidRDefault="005F2A88" w:rsidP="00300A9C">
      <w:pPr>
        <w:spacing w:after="0"/>
        <w:rPr>
          <w:rFonts w:cs="Times New Roman"/>
          <w:sz w:val="20"/>
          <w:szCs w:val="20"/>
        </w:rPr>
      </w:pPr>
      <w:r w:rsidRPr="005F2A88">
        <w:rPr>
          <w:rFonts w:cs="Times New Roman"/>
          <w:sz w:val="20"/>
          <w:szCs w:val="20"/>
        </w:rPr>
        <w:t>Our 1</w:t>
      </w:r>
      <w:r w:rsidRPr="005F2A88">
        <w:rPr>
          <w:rFonts w:cs="Times New Roman"/>
          <w:sz w:val="20"/>
          <w:szCs w:val="20"/>
          <w:vertAlign w:val="superscript"/>
        </w:rPr>
        <w:t>st</w:t>
      </w:r>
      <w:r w:rsidRPr="005F2A88">
        <w:rPr>
          <w:rFonts w:cs="Times New Roman"/>
          <w:sz w:val="20"/>
          <w:szCs w:val="20"/>
        </w:rPr>
        <w:t xml:space="preserve"> to 3</w:t>
      </w:r>
      <w:r w:rsidRPr="005F2A88">
        <w:rPr>
          <w:rFonts w:cs="Times New Roman"/>
          <w:sz w:val="20"/>
          <w:szCs w:val="20"/>
          <w:vertAlign w:val="superscript"/>
        </w:rPr>
        <w:t>rd</w:t>
      </w:r>
      <w:r w:rsidRPr="005F2A88">
        <w:rPr>
          <w:rFonts w:cs="Times New Roman"/>
          <w:sz w:val="20"/>
          <w:szCs w:val="20"/>
        </w:rPr>
        <w:t xml:space="preserve"> semester </w:t>
      </w:r>
      <w:r w:rsidR="009E75B4">
        <w:rPr>
          <w:rFonts w:cs="Times New Roman"/>
          <w:sz w:val="20"/>
          <w:szCs w:val="20"/>
        </w:rPr>
        <w:t>retention rate for the Fall 2011</w:t>
      </w:r>
      <w:r w:rsidRPr="005F2A88">
        <w:rPr>
          <w:rFonts w:cs="Times New Roman"/>
          <w:sz w:val="20"/>
          <w:szCs w:val="20"/>
        </w:rPr>
        <w:t xml:space="preserve"> First-Time Full-Time Entering Freshmen cohort was very strong.  This is, in part, because of our strong retention rate for Cal Grant students and a higher retention rate for men</w:t>
      </w:r>
      <w:r w:rsidR="009E75B4">
        <w:rPr>
          <w:rFonts w:cs="Times New Roman"/>
          <w:sz w:val="20"/>
          <w:szCs w:val="20"/>
        </w:rPr>
        <w:t xml:space="preserve">.  </w:t>
      </w:r>
      <w:r w:rsidR="00764F39">
        <w:rPr>
          <w:rFonts w:cs="Times New Roman"/>
          <w:sz w:val="20"/>
          <w:szCs w:val="20"/>
        </w:rPr>
        <w:t xml:space="preserve">There are many other descriptive characteristics examined by the Retention Working Group as possible indicators of attrition.  Please contact me if you are interested in seeing these detailed tables.  </w:t>
      </w:r>
    </w:p>
    <w:sectPr w:rsidR="00764F39" w:rsidRPr="005F2A88" w:rsidSect="00A62290">
      <w:headerReference w:type="default" r:id="rId13"/>
      <w:footerReference w:type="defaul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EDB" w:rsidRDefault="00543EDB" w:rsidP="00F83CA6">
      <w:pPr>
        <w:spacing w:after="0" w:line="240" w:lineRule="auto"/>
      </w:pPr>
      <w:r>
        <w:separator/>
      </w:r>
    </w:p>
  </w:endnote>
  <w:endnote w:type="continuationSeparator" w:id="0">
    <w:p w:rsidR="00543EDB" w:rsidRDefault="00543EDB" w:rsidP="00F83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DB" w:rsidRPr="00BD703B" w:rsidRDefault="00543EDB" w:rsidP="00091E35">
    <w:pPr>
      <w:pStyle w:val="Footer"/>
      <w:rPr>
        <w:rFonts w:asciiTheme="minorHAnsi" w:hAnsiTheme="minorHAnsi"/>
        <w:sz w:val="16"/>
        <w:szCs w:val="16"/>
      </w:rPr>
    </w:pPr>
    <w:r w:rsidRPr="003664C9">
      <w:rPr>
        <w:rFonts w:asciiTheme="minorHAnsi" w:hAnsiTheme="minorHAnsi"/>
        <w:sz w:val="16"/>
        <w:szCs w:val="16"/>
      </w:rPr>
      <w:t>Institutional Research</w:t>
    </w:r>
    <w:r w:rsidRPr="003664C9">
      <w:rPr>
        <w:rFonts w:asciiTheme="minorHAnsi" w:hAnsiTheme="minorHAnsi"/>
        <w:sz w:val="16"/>
        <w:szCs w:val="16"/>
      </w:rPr>
      <w:fldChar w:fldCharType="begin"/>
    </w:r>
    <w:r w:rsidRPr="003664C9">
      <w:rPr>
        <w:rFonts w:asciiTheme="minorHAnsi" w:hAnsiTheme="minorHAnsi"/>
        <w:sz w:val="16"/>
        <w:szCs w:val="16"/>
      </w:rPr>
      <w:instrText xml:space="preserve"> TITLE   \* MERGEFORMAT </w:instrText>
    </w:r>
    <w:r w:rsidRPr="003664C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                   </w:t>
    </w:r>
    <w:r>
      <w:rPr>
        <w:rFonts w:asciiTheme="minorHAnsi" w:hAnsiTheme="minorHAnsi"/>
        <w:sz w:val="16"/>
        <w:szCs w:val="16"/>
      </w:rPr>
      <w:tab/>
    </w:r>
    <w:r w:rsidRPr="00BD703B">
      <w:rPr>
        <w:rFonts w:asciiTheme="minorHAnsi" w:hAnsiTheme="minorHAnsi"/>
        <w:sz w:val="16"/>
        <w:szCs w:val="16"/>
      </w:rPr>
      <w:t xml:space="preserve">Page </w:t>
    </w:r>
    <w:r w:rsidRPr="00BD703B">
      <w:rPr>
        <w:rFonts w:asciiTheme="minorHAnsi" w:hAnsiTheme="minorHAnsi"/>
        <w:sz w:val="16"/>
        <w:szCs w:val="16"/>
      </w:rPr>
      <w:fldChar w:fldCharType="begin"/>
    </w:r>
    <w:r w:rsidRPr="00BD703B">
      <w:rPr>
        <w:rFonts w:asciiTheme="minorHAnsi" w:hAnsiTheme="minorHAnsi"/>
        <w:sz w:val="16"/>
        <w:szCs w:val="16"/>
      </w:rPr>
      <w:instrText xml:space="preserve"> PAGE   \* MERGEFORMAT </w:instrText>
    </w:r>
    <w:r w:rsidRPr="00BD703B">
      <w:rPr>
        <w:rFonts w:asciiTheme="minorHAnsi" w:hAnsiTheme="minorHAnsi"/>
        <w:sz w:val="16"/>
        <w:szCs w:val="16"/>
      </w:rPr>
      <w:fldChar w:fldCharType="separate"/>
    </w:r>
    <w:r w:rsidR="00382A42">
      <w:rPr>
        <w:rFonts w:asciiTheme="minorHAnsi" w:hAnsiTheme="minorHAnsi"/>
        <w:noProof/>
        <w:sz w:val="16"/>
        <w:szCs w:val="16"/>
      </w:rPr>
      <w:t>1</w:t>
    </w:r>
    <w:r w:rsidRPr="00BD703B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ab/>
      <w:t xml:space="preserve">  11/28/2012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EDB" w:rsidRDefault="00543EDB" w:rsidP="00F83CA6">
      <w:pPr>
        <w:spacing w:after="0" w:line="240" w:lineRule="auto"/>
      </w:pPr>
      <w:r>
        <w:separator/>
      </w:r>
    </w:p>
  </w:footnote>
  <w:footnote w:type="continuationSeparator" w:id="0">
    <w:p w:rsidR="00543EDB" w:rsidRDefault="00543EDB" w:rsidP="00F83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EDB" w:rsidRDefault="00543EDB">
    <w:pPr>
      <w:pStyle w:val="Header"/>
    </w:pPr>
    <w:r>
      <w:t>UoR Scanner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626"/>
    <w:multiLevelType w:val="hybridMultilevel"/>
    <w:tmpl w:val="1BD8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825B9"/>
    <w:multiLevelType w:val="hybridMultilevel"/>
    <w:tmpl w:val="BEC8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24AC7"/>
    <w:multiLevelType w:val="hybridMultilevel"/>
    <w:tmpl w:val="CF48ACC2"/>
    <w:lvl w:ilvl="0" w:tplc="E0B2ADBE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C0"/>
    <w:rsid w:val="00000331"/>
    <w:rsid w:val="0002503C"/>
    <w:rsid w:val="00041B96"/>
    <w:rsid w:val="000522B3"/>
    <w:rsid w:val="00080299"/>
    <w:rsid w:val="00091E35"/>
    <w:rsid w:val="000A32F3"/>
    <w:rsid w:val="000D0CFC"/>
    <w:rsid w:val="000D2FB2"/>
    <w:rsid w:val="000D5AE5"/>
    <w:rsid w:val="000D72E2"/>
    <w:rsid w:val="000D7ECB"/>
    <w:rsid w:val="001303C0"/>
    <w:rsid w:val="00143CB6"/>
    <w:rsid w:val="00176652"/>
    <w:rsid w:val="001B6D47"/>
    <w:rsid w:val="001C659F"/>
    <w:rsid w:val="001D2F33"/>
    <w:rsid w:val="001E321F"/>
    <w:rsid w:val="001F2402"/>
    <w:rsid w:val="00214D7E"/>
    <w:rsid w:val="00247023"/>
    <w:rsid w:val="002515D6"/>
    <w:rsid w:val="00251973"/>
    <w:rsid w:val="002A58C3"/>
    <w:rsid w:val="002B7418"/>
    <w:rsid w:val="002B747E"/>
    <w:rsid w:val="002D19D4"/>
    <w:rsid w:val="002F3B33"/>
    <w:rsid w:val="002F75C7"/>
    <w:rsid w:val="00300A9C"/>
    <w:rsid w:val="00335B52"/>
    <w:rsid w:val="003664C9"/>
    <w:rsid w:val="00370803"/>
    <w:rsid w:val="00372B38"/>
    <w:rsid w:val="00376075"/>
    <w:rsid w:val="00382A42"/>
    <w:rsid w:val="00385AAC"/>
    <w:rsid w:val="003942EF"/>
    <w:rsid w:val="003C014A"/>
    <w:rsid w:val="003E785E"/>
    <w:rsid w:val="00400317"/>
    <w:rsid w:val="00416E2A"/>
    <w:rsid w:val="00450423"/>
    <w:rsid w:val="00450E9C"/>
    <w:rsid w:val="00466D6B"/>
    <w:rsid w:val="00477EF8"/>
    <w:rsid w:val="004974A2"/>
    <w:rsid w:val="004B7292"/>
    <w:rsid w:val="004D60E9"/>
    <w:rsid w:val="004D6F68"/>
    <w:rsid w:val="004F43C1"/>
    <w:rsid w:val="00502DE8"/>
    <w:rsid w:val="005252D8"/>
    <w:rsid w:val="0053000A"/>
    <w:rsid w:val="00543EDB"/>
    <w:rsid w:val="00581940"/>
    <w:rsid w:val="005956BC"/>
    <w:rsid w:val="005B0563"/>
    <w:rsid w:val="005F2A88"/>
    <w:rsid w:val="006022D5"/>
    <w:rsid w:val="00617309"/>
    <w:rsid w:val="00650745"/>
    <w:rsid w:val="00651468"/>
    <w:rsid w:val="006D39E8"/>
    <w:rsid w:val="006F3D76"/>
    <w:rsid w:val="00707582"/>
    <w:rsid w:val="0071324B"/>
    <w:rsid w:val="00741796"/>
    <w:rsid w:val="00764F39"/>
    <w:rsid w:val="00766125"/>
    <w:rsid w:val="0077443C"/>
    <w:rsid w:val="00775BBE"/>
    <w:rsid w:val="007822A0"/>
    <w:rsid w:val="0078601B"/>
    <w:rsid w:val="007B6E87"/>
    <w:rsid w:val="007E0F79"/>
    <w:rsid w:val="007F1829"/>
    <w:rsid w:val="007F3F62"/>
    <w:rsid w:val="007F63BE"/>
    <w:rsid w:val="008723DB"/>
    <w:rsid w:val="00875564"/>
    <w:rsid w:val="00880FF7"/>
    <w:rsid w:val="00894B5C"/>
    <w:rsid w:val="008B0F44"/>
    <w:rsid w:val="008C2F91"/>
    <w:rsid w:val="008E6278"/>
    <w:rsid w:val="0090021C"/>
    <w:rsid w:val="00911C49"/>
    <w:rsid w:val="00912D19"/>
    <w:rsid w:val="00930097"/>
    <w:rsid w:val="00946AA3"/>
    <w:rsid w:val="00966EE7"/>
    <w:rsid w:val="009E75B4"/>
    <w:rsid w:val="009F2F53"/>
    <w:rsid w:val="00A005E3"/>
    <w:rsid w:val="00A1256D"/>
    <w:rsid w:val="00A50014"/>
    <w:rsid w:val="00A62290"/>
    <w:rsid w:val="00A96D4A"/>
    <w:rsid w:val="00AD673A"/>
    <w:rsid w:val="00AF78F0"/>
    <w:rsid w:val="00B13B2E"/>
    <w:rsid w:val="00B1649F"/>
    <w:rsid w:val="00B16FF7"/>
    <w:rsid w:val="00B52445"/>
    <w:rsid w:val="00B75945"/>
    <w:rsid w:val="00BD66E7"/>
    <w:rsid w:val="00BD703B"/>
    <w:rsid w:val="00BE507D"/>
    <w:rsid w:val="00C13F9A"/>
    <w:rsid w:val="00C24023"/>
    <w:rsid w:val="00C3544A"/>
    <w:rsid w:val="00C51D8C"/>
    <w:rsid w:val="00C55CDC"/>
    <w:rsid w:val="00C67363"/>
    <w:rsid w:val="00C94A0A"/>
    <w:rsid w:val="00C94F5B"/>
    <w:rsid w:val="00CA0A2F"/>
    <w:rsid w:val="00CA12C6"/>
    <w:rsid w:val="00CC3F0A"/>
    <w:rsid w:val="00D16254"/>
    <w:rsid w:val="00D66416"/>
    <w:rsid w:val="00DC5CEF"/>
    <w:rsid w:val="00DD25D9"/>
    <w:rsid w:val="00DD4548"/>
    <w:rsid w:val="00E02868"/>
    <w:rsid w:val="00E339E1"/>
    <w:rsid w:val="00E672D5"/>
    <w:rsid w:val="00E77533"/>
    <w:rsid w:val="00EC1FCB"/>
    <w:rsid w:val="00F2765F"/>
    <w:rsid w:val="00F4757D"/>
    <w:rsid w:val="00F7307F"/>
    <w:rsid w:val="00F83CA6"/>
    <w:rsid w:val="00FA7810"/>
    <w:rsid w:val="00FD4CB3"/>
    <w:rsid w:val="00FD7F55"/>
    <w:rsid w:val="00FE7672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A6"/>
  </w:style>
  <w:style w:type="paragraph" w:styleId="Footer">
    <w:name w:val="footer"/>
    <w:basedOn w:val="Normal"/>
    <w:link w:val="FooterChar"/>
    <w:uiPriority w:val="99"/>
    <w:unhideWhenUsed/>
    <w:rsid w:val="00091E35"/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091E35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74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CA6"/>
  </w:style>
  <w:style w:type="paragraph" w:styleId="Footer">
    <w:name w:val="footer"/>
    <w:basedOn w:val="Normal"/>
    <w:link w:val="FooterChar"/>
    <w:uiPriority w:val="99"/>
    <w:unhideWhenUsed/>
    <w:rsid w:val="00091E35"/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uiPriority w:val="99"/>
    <w:rsid w:val="00091E35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4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74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red-fs-01\businessfinance\Institutional%20Research\College%20of%20Arts%20&amp;%20Sciences\Retention%20Reports%20and%20Historical\Fall%2012%20CAS%20Retention%20Detail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red-fs-01\businessfinance\Institutional%20Research\College%20of%20Arts%20&amp;%20Sciences\Retention%20Reports%20and%20Historical\Fall%2012%20CAS%20Retention%20Detail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red-fs-01\businessfinance\Institutional%20Research\College%20of%20Arts%20&amp;%20Sciences\Retention%20Reports%20and%20Historical\Fall%2012%20CAS%20Retention%20Detail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-red-fs-01\businessfinance\Institutional%20Research\College%20of%20Arts%20&amp;%20Sciences\Retention%20Reports%20and%20Historical\Fall%2012%20CAS%20Retention%20Detail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College Choice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'Quantitative Stats'!$G$62</c:f>
              <c:strCache>
                <c:ptCount val="1"/>
                <c:pt idx="0">
                  <c:v>CIRP Freshman Survey College Choice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'Quantitative Stats'!$G$63:$G$67</c:f>
              <c:strCache>
                <c:ptCount val="5"/>
                <c:pt idx="0">
                  <c:v>1st Choice</c:v>
                </c:pt>
                <c:pt idx="1">
                  <c:v>2nd Choice</c:v>
                </c:pt>
                <c:pt idx="2">
                  <c:v>3rd Choice</c:v>
                </c:pt>
                <c:pt idx="3">
                  <c:v>Less than 3rd Choice</c:v>
                </c:pt>
                <c:pt idx="4">
                  <c:v>Did not respond</c:v>
                </c:pt>
              </c:strCache>
            </c:strRef>
          </c:cat>
          <c:val>
            <c:numRef>
              <c:f>'Quantitative Stats'!$J$63:$J$67</c:f>
              <c:numCache>
                <c:formatCode>General</c:formatCode>
                <c:ptCount val="5"/>
                <c:pt idx="0">
                  <c:v>273</c:v>
                </c:pt>
                <c:pt idx="1">
                  <c:v>166</c:v>
                </c:pt>
                <c:pt idx="2">
                  <c:v>78</c:v>
                </c:pt>
                <c:pt idx="3">
                  <c:v>48</c:v>
                </c:pt>
                <c:pt idx="4">
                  <c:v>79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College Choice Not Retained ONLY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'Quantitative Stats'!$G$62</c:f>
              <c:strCache>
                <c:ptCount val="1"/>
                <c:pt idx="0">
                  <c:v>CIRP Freshman Survey College Choice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'Quantitative Stats'!$G$63:$G$67</c:f>
              <c:strCache>
                <c:ptCount val="5"/>
                <c:pt idx="0">
                  <c:v>1st Choice</c:v>
                </c:pt>
                <c:pt idx="1">
                  <c:v>2nd Choice</c:v>
                </c:pt>
                <c:pt idx="2">
                  <c:v>3rd Choice</c:v>
                </c:pt>
                <c:pt idx="3">
                  <c:v>Less than 3rd Choice</c:v>
                </c:pt>
                <c:pt idx="4">
                  <c:v>Did not respond</c:v>
                </c:pt>
              </c:strCache>
            </c:strRef>
          </c:cat>
          <c:val>
            <c:numRef>
              <c:f>'Quantitative Stats'!$I$63:$I$67</c:f>
              <c:numCache>
                <c:formatCode>General</c:formatCode>
                <c:ptCount val="5"/>
                <c:pt idx="0">
                  <c:v>9</c:v>
                </c:pt>
                <c:pt idx="1">
                  <c:v>24</c:v>
                </c:pt>
                <c:pt idx="2">
                  <c:v>12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Retention</a:t>
            </a:r>
            <a:r>
              <a:rPr lang="en-US" sz="1400" baseline="0"/>
              <a:t> by Financial Characteristics</a:t>
            </a:r>
            <a:endParaRPr lang="en-US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'Quantitative Stats'!$O$27</c:f>
              <c:strCache>
                <c:ptCount val="1"/>
                <c:pt idx="0">
                  <c:v>Cal Grant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'Quantitative Stats'!$P$26:$R$26</c:f>
              <c:strCache>
                <c:ptCount val="3"/>
                <c:pt idx="0">
                  <c:v>Fall 2011 to Fall 2012</c:v>
                </c:pt>
                <c:pt idx="1">
                  <c:v>Fall 2010 to Fall 2011</c:v>
                </c:pt>
                <c:pt idx="2">
                  <c:v>Fall 2009 to Fall 2010</c:v>
                </c:pt>
              </c:strCache>
            </c:strRef>
          </c:cat>
          <c:val>
            <c:numRef>
              <c:f>'Quantitative Stats'!$P$27:$R$27</c:f>
              <c:numCache>
                <c:formatCode>0%</c:formatCode>
                <c:ptCount val="3"/>
                <c:pt idx="0">
                  <c:v>0.95</c:v>
                </c:pt>
                <c:pt idx="1">
                  <c:v>0.96</c:v>
                </c:pt>
                <c:pt idx="2">
                  <c:v>0.94</c:v>
                </c:pt>
              </c:numCache>
            </c:numRef>
          </c:val>
        </c:ser>
        <c:ser>
          <c:idx val="1"/>
          <c:order val="1"/>
          <c:tx>
            <c:strRef>
              <c:f>'Quantitative Stats'!$O$28</c:f>
              <c:strCache>
                <c:ptCount val="1"/>
                <c:pt idx="0">
                  <c:v>Non Cal Grant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'Quantitative Stats'!$P$26:$R$26</c:f>
              <c:strCache>
                <c:ptCount val="3"/>
                <c:pt idx="0">
                  <c:v>Fall 2011 to Fall 2012</c:v>
                </c:pt>
                <c:pt idx="1">
                  <c:v>Fall 2010 to Fall 2011</c:v>
                </c:pt>
                <c:pt idx="2">
                  <c:v>Fall 2009 to Fall 2010</c:v>
                </c:pt>
              </c:strCache>
            </c:strRef>
          </c:cat>
          <c:val>
            <c:numRef>
              <c:f>'Quantitative Stats'!$P$28:$R$28</c:f>
              <c:numCache>
                <c:formatCode>0%</c:formatCode>
                <c:ptCount val="3"/>
                <c:pt idx="0">
                  <c:v>0.89</c:v>
                </c:pt>
                <c:pt idx="1">
                  <c:v>0.85</c:v>
                </c:pt>
                <c:pt idx="2">
                  <c:v>0.84</c:v>
                </c:pt>
              </c:numCache>
            </c:numRef>
          </c:val>
        </c:ser>
        <c:ser>
          <c:idx val="2"/>
          <c:order val="2"/>
          <c:tx>
            <c:strRef>
              <c:f>'Quantitative Stats'!$O$29</c:f>
              <c:strCache>
                <c:ptCount val="1"/>
                <c:pt idx="0">
                  <c:v>Pell Grant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'Quantitative Stats'!$P$26:$R$26</c:f>
              <c:strCache>
                <c:ptCount val="3"/>
                <c:pt idx="0">
                  <c:v>Fall 2011 to Fall 2012</c:v>
                </c:pt>
                <c:pt idx="1">
                  <c:v>Fall 2010 to Fall 2011</c:v>
                </c:pt>
                <c:pt idx="2">
                  <c:v>Fall 2009 to Fall 2010</c:v>
                </c:pt>
              </c:strCache>
            </c:strRef>
          </c:cat>
          <c:val>
            <c:numRef>
              <c:f>'Quantitative Stats'!$P$29:$R$29</c:f>
              <c:numCache>
                <c:formatCode>0%</c:formatCode>
                <c:ptCount val="3"/>
                <c:pt idx="0">
                  <c:v>0.94</c:v>
                </c:pt>
                <c:pt idx="1">
                  <c:v>0.94</c:v>
                </c:pt>
                <c:pt idx="2">
                  <c:v>0.84</c:v>
                </c:pt>
              </c:numCache>
            </c:numRef>
          </c:val>
        </c:ser>
        <c:ser>
          <c:idx val="3"/>
          <c:order val="3"/>
          <c:tx>
            <c:strRef>
              <c:f>'Quantitative Stats'!$O$30</c:f>
              <c:strCache>
                <c:ptCount val="1"/>
                <c:pt idx="0">
                  <c:v>Non Pell Grant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'Quantitative Stats'!$P$26:$R$26</c:f>
              <c:strCache>
                <c:ptCount val="3"/>
                <c:pt idx="0">
                  <c:v>Fall 2011 to Fall 2012</c:v>
                </c:pt>
                <c:pt idx="1">
                  <c:v>Fall 2010 to Fall 2011</c:v>
                </c:pt>
                <c:pt idx="2">
                  <c:v>Fall 2009 to Fall 2010</c:v>
                </c:pt>
              </c:strCache>
            </c:strRef>
          </c:cat>
          <c:val>
            <c:numRef>
              <c:f>'Quantitative Stats'!$P$30:$R$30</c:f>
              <c:numCache>
                <c:formatCode>0%</c:formatCode>
                <c:ptCount val="3"/>
                <c:pt idx="0">
                  <c:v>0.9</c:v>
                </c:pt>
                <c:pt idx="1">
                  <c:v>0.85</c:v>
                </c:pt>
                <c:pt idx="2">
                  <c:v>0.87</c:v>
                </c:pt>
              </c:numCache>
            </c:numRef>
          </c:val>
        </c:ser>
        <c:ser>
          <c:idx val="4"/>
          <c:order val="4"/>
          <c:tx>
            <c:strRef>
              <c:f>'Quantitative Stats'!$O$31</c:f>
              <c:strCache>
                <c:ptCount val="1"/>
                <c:pt idx="0">
                  <c:v>First Generation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'Quantitative Stats'!$P$26:$R$26</c:f>
              <c:strCache>
                <c:ptCount val="3"/>
                <c:pt idx="0">
                  <c:v>Fall 2011 to Fall 2012</c:v>
                </c:pt>
                <c:pt idx="1">
                  <c:v>Fall 2010 to Fall 2011</c:v>
                </c:pt>
                <c:pt idx="2">
                  <c:v>Fall 2009 to Fall 2010</c:v>
                </c:pt>
              </c:strCache>
            </c:strRef>
          </c:cat>
          <c:val>
            <c:numRef>
              <c:f>'Quantitative Stats'!$P$31:$R$31</c:f>
              <c:numCache>
                <c:formatCode>0%</c:formatCode>
                <c:ptCount val="3"/>
                <c:pt idx="0">
                  <c:v>0.94</c:v>
                </c:pt>
                <c:pt idx="1">
                  <c:v>0.91</c:v>
                </c:pt>
                <c:pt idx="2">
                  <c:v>0.9</c:v>
                </c:pt>
              </c:numCache>
            </c:numRef>
          </c:val>
        </c:ser>
        <c:ser>
          <c:idx val="5"/>
          <c:order val="5"/>
          <c:tx>
            <c:strRef>
              <c:f>'Quantitative Stats'!$O$32</c:f>
              <c:strCache>
                <c:ptCount val="1"/>
                <c:pt idx="0">
                  <c:v>Non First Generation</c:v>
                </c:pt>
              </c:strCache>
            </c:strRef>
          </c:tx>
          <c:invertIfNegative val="0"/>
          <c:dLbls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'Quantitative Stats'!$P$26:$R$26</c:f>
              <c:strCache>
                <c:ptCount val="3"/>
                <c:pt idx="0">
                  <c:v>Fall 2011 to Fall 2012</c:v>
                </c:pt>
                <c:pt idx="1">
                  <c:v>Fall 2010 to Fall 2011</c:v>
                </c:pt>
                <c:pt idx="2">
                  <c:v>Fall 2009 to Fall 2010</c:v>
                </c:pt>
              </c:strCache>
            </c:strRef>
          </c:cat>
          <c:val>
            <c:numRef>
              <c:f>'Quantitative Stats'!$P$32:$R$32</c:f>
              <c:numCache>
                <c:formatCode>0%</c:formatCode>
                <c:ptCount val="3"/>
                <c:pt idx="0">
                  <c:v>0.89</c:v>
                </c:pt>
                <c:pt idx="1">
                  <c:v>0.86</c:v>
                </c:pt>
                <c:pt idx="2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04437248"/>
        <c:axId val="104438784"/>
      </c:barChart>
      <c:catAx>
        <c:axId val="104437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4438784"/>
        <c:crosses val="autoZero"/>
        <c:auto val="1"/>
        <c:lblAlgn val="ctr"/>
        <c:lblOffset val="100"/>
        <c:noMultiLvlLbl val="0"/>
      </c:catAx>
      <c:valAx>
        <c:axId val="10443878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1044372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b="1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Retention</a:t>
            </a:r>
            <a:r>
              <a:rPr lang="en-US" baseline="0"/>
              <a:t> by Race &amp; Ethnicity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'Quantitative Stats'!$G$5</c:f>
              <c:strCache>
                <c:ptCount val="1"/>
                <c:pt idx="0">
                  <c:v>Race / Ethnicity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92%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94%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100%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8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'Quantitative Stats'!$G$6:$G$14</c:f>
              <c:strCache>
                <c:ptCount val="9"/>
                <c:pt idx="0">
                  <c:v>White</c:v>
                </c:pt>
                <c:pt idx="1">
                  <c:v>Hispanic</c:v>
                </c:pt>
                <c:pt idx="2">
                  <c:v>Other/Declined</c:v>
                </c:pt>
                <c:pt idx="3">
                  <c:v>Two or More</c:v>
                </c:pt>
                <c:pt idx="4">
                  <c:v>Asian</c:v>
                </c:pt>
                <c:pt idx="5">
                  <c:v>African American</c:v>
                </c:pt>
                <c:pt idx="6">
                  <c:v>Native American</c:v>
                </c:pt>
                <c:pt idx="7">
                  <c:v>Non  US Resident</c:v>
                </c:pt>
                <c:pt idx="8">
                  <c:v>Pacific Islander</c:v>
                </c:pt>
              </c:strCache>
            </c:strRef>
          </c:cat>
          <c:val>
            <c:numRef>
              <c:f>'Quantitative Stats'!$L$6:$L$14</c:f>
              <c:numCache>
                <c:formatCode>0.0%</c:formatCode>
                <c:ptCount val="9"/>
                <c:pt idx="0">
                  <c:v>0.90055248618784522</c:v>
                </c:pt>
                <c:pt idx="1">
                  <c:v>0.91911764705882359</c:v>
                </c:pt>
                <c:pt idx="2">
                  <c:v>0.93055555555555569</c:v>
                </c:pt>
                <c:pt idx="3">
                  <c:v>0.95652173913043481</c:v>
                </c:pt>
                <c:pt idx="4">
                  <c:v>0.86363636363636354</c:v>
                </c:pt>
                <c:pt idx="5">
                  <c:v>0.9375</c:v>
                </c:pt>
                <c:pt idx="6">
                  <c:v>0.60000000000000009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04729984"/>
        <c:axId val="104739968"/>
      </c:barChart>
      <c:catAx>
        <c:axId val="10472998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en-US"/>
          </a:p>
        </c:txPr>
        <c:crossAx val="104739968"/>
        <c:crosses val="autoZero"/>
        <c:auto val="1"/>
        <c:lblAlgn val="ctr"/>
        <c:lblOffset val="100"/>
        <c:noMultiLvlLbl val="0"/>
      </c:catAx>
      <c:valAx>
        <c:axId val="104739968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1047299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7AE4-31FD-4F5B-83D6-03C8078F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McEwen, Wendy</dc:creator>
  <cp:lastModifiedBy>Wendy McEwen</cp:lastModifiedBy>
  <cp:revision>2</cp:revision>
  <cp:lastPrinted>2010-10-21T21:21:00Z</cp:lastPrinted>
  <dcterms:created xsi:type="dcterms:W3CDTF">2014-06-05T16:54:00Z</dcterms:created>
  <dcterms:modified xsi:type="dcterms:W3CDTF">2014-06-05T16:54:00Z</dcterms:modified>
</cp:coreProperties>
</file>