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26" w:rsidRDefault="003A308B" w:rsidP="00EE33A6">
      <w:pPr>
        <w:spacing w:after="0"/>
        <w:jc w:val="center"/>
        <w:rPr>
          <w:rFonts w:ascii="Arial" w:hAnsi="Arial" w:cs="Arial"/>
          <w:b/>
          <w:sz w:val="32"/>
          <w:szCs w:val="32"/>
        </w:rPr>
      </w:pPr>
      <w:bookmarkStart w:id="0" w:name="_GoBack"/>
      <w:bookmarkEnd w:id="0"/>
      <w:r>
        <w:rPr>
          <w:rFonts w:ascii="Arial" w:hAnsi="Arial" w:cs="Arial"/>
          <w:b/>
          <w:sz w:val="32"/>
          <w:szCs w:val="32"/>
        </w:rPr>
        <w:t>College of Arts &amp; Sciences</w:t>
      </w:r>
    </w:p>
    <w:p w:rsidR="003A308B" w:rsidRDefault="009D13F0" w:rsidP="00EE33A6">
      <w:pPr>
        <w:spacing w:after="0"/>
        <w:jc w:val="center"/>
        <w:rPr>
          <w:rFonts w:ascii="Arial" w:hAnsi="Arial" w:cs="Arial"/>
          <w:b/>
          <w:sz w:val="32"/>
          <w:szCs w:val="32"/>
        </w:rPr>
      </w:pPr>
      <w:r>
        <w:rPr>
          <w:rFonts w:ascii="Arial" w:hAnsi="Arial" w:cs="Arial"/>
          <w:b/>
          <w:sz w:val="32"/>
          <w:szCs w:val="32"/>
        </w:rPr>
        <w:t>First Time Full Time Entering Freshmen</w:t>
      </w:r>
      <w:r>
        <w:rPr>
          <w:rFonts w:ascii="Arial" w:hAnsi="Arial" w:cs="Arial"/>
          <w:b/>
          <w:sz w:val="32"/>
          <w:szCs w:val="32"/>
        </w:rPr>
        <w:br/>
      </w:r>
      <w:r w:rsidR="00431CD7">
        <w:rPr>
          <w:rFonts w:ascii="Arial" w:hAnsi="Arial" w:cs="Arial"/>
          <w:b/>
          <w:sz w:val="32"/>
          <w:szCs w:val="32"/>
        </w:rPr>
        <w:t>Transfer O</w:t>
      </w:r>
      <w:r w:rsidR="00241687">
        <w:rPr>
          <w:rFonts w:ascii="Arial" w:hAnsi="Arial" w:cs="Arial"/>
          <w:b/>
          <w:sz w:val="32"/>
          <w:szCs w:val="32"/>
        </w:rPr>
        <w:t xml:space="preserve">ut </w:t>
      </w:r>
      <w:r w:rsidR="00431CD7">
        <w:rPr>
          <w:rFonts w:ascii="Arial" w:hAnsi="Arial" w:cs="Arial"/>
          <w:b/>
          <w:sz w:val="32"/>
          <w:szCs w:val="32"/>
        </w:rPr>
        <w:t xml:space="preserve">Student </w:t>
      </w:r>
      <w:r>
        <w:rPr>
          <w:rFonts w:ascii="Arial" w:hAnsi="Arial" w:cs="Arial"/>
          <w:b/>
          <w:sz w:val="32"/>
          <w:szCs w:val="32"/>
        </w:rPr>
        <w:t>Graduation Rates</w:t>
      </w:r>
    </w:p>
    <w:p w:rsidR="007472EA" w:rsidRPr="00480E0A" w:rsidRDefault="007472EA" w:rsidP="00EE33A6">
      <w:pPr>
        <w:spacing w:after="0"/>
        <w:jc w:val="center"/>
        <w:rPr>
          <w:rFonts w:ascii="Arial" w:hAnsi="Arial" w:cs="Arial"/>
          <w:i/>
          <w:sz w:val="24"/>
        </w:rPr>
      </w:pPr>
      <w:r w:rsidRPr="00480E0A">
        <w:rPr>
          <w:rFonts w:ascii="Arial" w:hAnsi="Arial" w:cs="Arial"/>
          <w:i/>
          <w:sz w:val="24"/>
        </w:rPr>
        <w:t>Wendy McEwen, Director of Institutional Research</w:t>
      </w:r>
    </w:p>
    <w:p w:rsidR="00D25824" w:rsidRDefault="00D25824" w:rsidP="00EE33A6">
      <w:pPr>
        <w:spacing w:after="0"/>
        <w:rPr>
          <w:rFonts w:ascii="Arial" w:hAnsi="Arial" w:cs="Arial"/>
          <w:b/>
          <w:sz w:val="24"/>
          <w:szCs w:val="24"/>
        </w:rPr>
      </w:pPr>
    </w:p>
    <w:p w:rsidR="00305CEA" w:rsidRPr="00480E0A" w:rsidRDefault="00305CEA" w:rsidP="00EE33A6">
      <w:pPr>
        <w:spacing w:after="0"/>
        <w:rPr>
          <w:rFonts w:ascii="Arial" w:hAnsi="Arial" w:cs="Arial"/>
          <w:b/>
          <w:sz w:val="24"/>
          <w:szCs w:val="24"/>
        </w:rPr>
      </w:pPr>
    </w:p>
    <w:p w:rsidR="00305CEA" w:rsidRDefault="007009EE" w:rsidP="00684B73">
      <w:pPr>
        <w:rPr>
          <w:rFonts w:ascii="Arial" w:hAnsi="Arial" w:cs="Arial"/>
          <w:sz w:val="24"/>
          <w:szCs w:val="24"/>
        </w:rPr>
      </w:pPr>
      <w:r w:rsidRPr="00FB2EA8">
        <w:rPr>
          <w:rFonts w:ascii="Arial" w:hAnsi="Arial" w:cs="Arial"/>
          <w:sz w:val="24"/>
          <w:szCs w:val="24"/>
        </w:rPr>
        <w:t xml:space="preserve">Graduation rates </w:t>
      </w:r>
      <w:r w:rsidR="00DC2AAF">
        <w:rPr>
          <w:rFonts w:ascii="Arial" w:hAnsi="Arial" w:cs="Arial"/>
          <w:sz w:val="24"/>
          <w:szCs w:val="24"/>
        </w:rPr>
        <w:t xml:space="preserve">are </w:t>
      </w:r>
      <w:r w:rsidRPr="00FB2EA8">
        <w:rPr>
          <w:rFonts w:ascii="Arial" w:hAnsi="Arial" w:cs="Arial"/>
          <w:sz w:val="24"/>
          <w:szCs w:val="24"/>
        </w:rPr>
        <w:t xml:space="preserve">important </w:t>
      </w:r>
      <w:r w:rsidR="00FB2EA8" w:rsidRPr="00FB2EA8">
        <w:rPr>
          <w:rFonts w:ascii="Arial" w:hAnsi="Arial" w:cs="Arial"/>
          <w:sz w:val="24"/>
          <w:szCs w:val="24"/>
        </w:rPr>
        <w:t>in higher education</w:t>
      </w:r>
      <w:r w:rsidR="00045E97">
        <w:rPr>
          <w:rFonts w:ascii="Arial" w:hAnsi="Arial" w:cs="Arial"/>
          <w:sz w:val="24"/>
          <w:szCs w:val="24"/>
        </w:rPr>
        <w:t xml:space="preserve">, not only </w:t>
      </w:r>
      <w:r w:rsidRPr="00FB2EA8">
        <w:rPr>
          <w:rFonts w:ascii="Arial" w:hAnsi="Arial" w:cs="Arial"/>
          <w:sz w:val="24"/>
          <w:szCs w:val="24"/>
        </w:rPr>
        <w:t>as a method of comparing institutions</w:t>
      </w:r>
      <w:r w:rsidR="00045E97">
        <w:rPr>
          <w:rFonts w:ascii="Arial" w:hAnsi="Arial" w:cs="Arial"/>
          <w:sz w:val="24"/>
          <w:szCs w:val="24"/>
        </w:rPr>
        <w:t xml:space="preserve"> but as a focus of </w:t>
      </w:r>
      <w:r w:rsidR="007D3B3D">
        <w:rPr>
          <w:rFonts w:ascii="Arial" w:hAnsi="Arial" w:cs="Arial"/>
          <w:sz w:val="24"/>
          <w:szCs w:val="24"/>
        </w:rPr>
        <w:t>accreditation</w:t>
      </w:r>
      <w:r w:rsidRPr="00FB2EA8">
        <w:rPr>
          <w:rFonts w:ascii="Arial" w:hAnsi="Arial" w:cs="Arial"/>
          <w:sz w:val="24"/>
          <w:szCs w:val="24"/>
        </w:rPr>
        <w:t xml:space="preserve">.  The </w:t>
      </w:r>
      <w:r w:rsidR="00431CD7">
        <w:rPr>
          <w:rFonts w:ascii="Arial" w:hAnsi="Arial" w:cs="Arial"/>
          <w:sz w:val="24"/>
          <w:szCs w:val="24"/>
        </w:rPr>
        <w:t xml:space="preserve">most commonly used </w:t>
      </w:r>
      <w:r w:rsidR="00481341">
        <w:rPr>
          <w:rFonts w:ascii="Arial" w:hAnsi="Arial" w:cs="Arial"/>
          <w:sz w:val="24"/>
          <w:szCs w:val="24"/>
        </w:rPr>
        <w:t>graduation rate</w:t>
      </w:r>
      <w:r w:rsidRPr="00FB2EA8">
        <w:rPr>
          <w:rFonts w:ascii="Arial" w:hAnsi="Arial" w:cs="Arial"/>
          <w:sz w:val="24"/>
          <w:szCs w:val="24"/>
        </w:rPr>
        <w:t xml:space="preserve"> </w:t>
      </w:r>
      <w:r w:rsidR="00431CD7">
        <w:rPr>
          <w:rFonts w:ascii="Arial" w:hAnsi="Arial" w:cs="Arial"/>
          <w:sz w:val="24"/>
          <w:szCs w:val="24"/>
        </w:rPr>
        <w:t xml:space="preserve">metric is </w:t>
      </w:r>
      <w:r w:rsidRPr="00FB2EA8">
        <w:rPr>
          <w:rFonts w:ascii="Arial" w:hAnsi="Arial" w:cs="Arial"/>
          <w:sz w:val="24"/>
          <w:szCs w:val="24"/>
        </w:rPr>
        <w:t>the number of First-Time Full</w:t>
      </w:r>
      <w:r w:rsidR="00C268E9" w:rsidRPr="00FB2EA8">
        <w:rPr>
          <w:rFonts w:ascii="Arial" w:hAnsi="Arial" w:cs="Arial"/>
          <w:sz w:val="24"/>
          <w:szCs w:val="24"/>
        </w:rPr>
        <w:t>-Time Entering F</w:t>
      </w:r>
      <w:r w:rsidRPr="00FB2EA8">
        <w:rPr>
          <w:rFonts w:ascii="Arial" w:hAnsi="Arial" w:cs="Arial"/>
          <w:sz w:val="24"/>
          <w:szCs w:val="24"/>
        </w:rPr>
        <w:t>reshmen who start at one school and complete a degree at the same school within 150% of their expecte</w:t>
      </w:r>
      <w:r w:rsidR="00431CD7">
        <w:rPr>
          <w:rFonts w:ascii="Arial" w:hAnsi="Arial" w:cs="Arial"/>
          <w:sz w:val="24"/>
          <w:szCs w:val="24"/>
        </w:rPr>
        <w:t xml:space="preserve">d graduation time – the 6 year graduation rate.  </w:t>
      </w:r>
      <w:r w:rsidRPr="00FB2EA8">
        <w:rPr>
          <w:rFonts w:ascii="Arial" w:hAnsi="Arial" w:cs="Arial"/>
          <w:sz w:val="24"/>
          <w:szCs w:val="24"/>
        </w:rPr>
        <w:t>This rate does not take int</w:t>
      </w:r>
      <w:r w:rsidR="00FB2EA8" w:rsidRPr="00FB2EA8">
        <w:rPr>
          <w:rFonts w:ascii="Arial" w:hAnsi="Arial" w:cs="Arial"/>
          <w:sz w:val="24"/>
          <w:szCs w:val="24"/>
        </w:rPr>
        <w:t>o account those students who</w:t>
      </w:r>
      <w:r w:rsidR="007D3B3D">
        <w:rPr>
          <w:rFonts w:ascii="Arial" w:hAnsi="Arial" w:cs="Arial"/>
          <w:sz w:val="24"/>
          <w:szCs w:val="24"/>
        </w:rPr>
        <w:t xml:space="preserve"> transfer to another institution and subsequently </w:t>
      </w:r>
      <w:r w:rsidR="00431CD7">
        <w:rPr>
          <w:rFonts w:ascii="Arial" w:hAnsi="Arial" w:cs="Arial"/>
          <w:sz w:val="24"/>
          <w:szCs w:val="24"/>
        </w:rPr>
        <w:t>graduate</w:t>
      </w:r>
      <w:r w:rsidR="00041D64">
        <w:rPr>
          <w:rFonts w:ascii="Arial" w:hAnsi="Arial" w:cs="Arial"/>
          <w:sz w:val="24"/>
          <w:szCs w:val="24"/>
        </w:rPr>
        <w:t xml:space="preserve">.  </w:t>
      </w:r>
    </w:p>
    <w:p w:rsidR="00FB2EA8" w:rsidRPr="00FB2EA8" w:rsidRDefault="00041D64" w:rsidP="00684B73">
      <w:pPr>
        <w:rPr>
          <w:rFonts w:ascii="Arial" w:hAnsi="Arial" w:cs="Arial"/>
          <w:sz w:val="24"/>
          <w:szCs w:val="24"/>
        </w:rPr>
      </w:pPr>
      <w:r>
        <w:rPr>
          <w:rFonts w:ascii="Arial" w:hAnsi="Arial" w:cs="Arial"/>
          <w:sz w:val="24"/>
          <w:szCs w:val="24"/>
        </w:rPr>
        <w:t>A</w:t>
      </w:r>
      <w:r w:rsidRPr="00FB2EA8">
        <w:rPr>
          <w:rFonts w:ascii="Arial" w:hAnsi="Arial" w:cs="Arial"/>
          <w:sz w:val="24"/>
          <w:szCs w:val="24"/>
        </w:rPr>
        <w:t>ccording to a recently published study by the National Student Clearinghouse Research Center and Indiana University, one third o</w:t>
      </w:r>
      <w:r>
        <w:rPr>
          <w:rFonts w:ascii="Arial" w:hAnsi="Arial" w:cs="Arial"/>
          <w:sz w:val="24"/>
          <w:szCs w:val="24"/>
        </w:rPr>
        <w:t>f</w:t>
      </w:r>
      <w:r w:rsidRPr="00FB2EA8">
        <w:rPr>
          <w:rFonts w:ascii="Arial" w:hAnsi="Arial" w:cs="Arial"/>
          <w:sz w:val="24"/>
          <w:szCs w:val="24"/>
        </w:rPr>
        <w:t xml:space="preserve"> all students transfer at least once before earning a degree (Hossler, Feb 2012).    </w:t>
      </w:r>
      <w:r>
        <w:rPr>
          <w:rFonts w:ascii="Arial" w:hAnsi="Arial" w:cs="Arial"/>
          <w:sz w:val="24"/>
          <w:szCs w:val="24"/>
        </w:rPr>
        <w:t xml:space="preserve">Thus, tracking students after they transfer is becoming increasingly important in order to more fully contextualize student success.  </w:t>
      </w:r>
    </w:p>
    <w:p w:rsidR="00305CEA" w:rsidRDefault="006E4EA8" w:rsidP="00305CEA">
      <w:pPr>
        <w:rPr>
          <w:rFonts w:ascii="Arial" w:hAnsi="Arial" w:cs="Arial"/>
          <w:sz w:val="24"/>
          <w:szCs w:val="24"/>
        </w:rPr>
      </w:pPr>
      <w:r w:rsidRPr="00FB2EA8">
        <w:rPr>
          <w:rFonts w:ascii="Arial" w:hAnsi="Arial" w:cs="Arial"/>
          <w:sz w:val="24"/>
          <w:szCs w:val="24"/>
        </w:rPr>
        <w:t>Over 92% of U.S. students a</w:t>
      </w:r>
      <w:r>
        <w:rPr>
          <w:rFonts w:ascii="Arial" w:hAnsi="Arial" w:cs="Arial"/>
          <w:sz w:val="24"/>
          <w:szCs w:val="24"/>
        </w:rPr>
        <w:t xml:space="preserve">ttend colleges participating in the National Student Clearinghouse (NSC) system </w:t>
      </w:r>
      <w:r w:rsidRPr="00FB2EA8">
        <w:rPr>
          <w:rFonts w:ascii="Arial" w:hAnsi="Arial" w:cs="Arial"/>
          <w:sz w:val="24"/>
          <w:szCs w:val="24"/>
        </w:rPr>
        <w:t xml:space="preserve">(Student Clearinghouse, 2012).  </w:t>
      </w:r>
      <w:r w:rsidR="00041D64">
        <w:rPr>
          <w:rFonts w:ascii="Arial" w:hAnsi="Arial" w:cs="Arial"/>
          <w:sz w:val="24"/>
          <w:szCs w:val="24"/>
        </w:rPr>
        <w:t xml:space="preserve">Using the </w:t>
      </w:r>
      <w:r w:rsidR="00DC2AAF">
        <w:rPr>
          <w:rFonts w:ascii="Arial" w:hAnsi="Arial" w:cs="Arial"/>
          <w:sz w:val="24"/>
          <w:szCs w:val="24"/>
        </w:rPr>
        <w:t>NSC</w:t>
      </w:r>
      <w:r w:rsidR="00041D64">
        <w:rPr>
          <w:rFonts w:ascii="Arial" w:hAnsi="Arial" w:cs="Arial"/>
          <w:sz w:val="24"/>
          <w:szCs w:val="24"/>
        </w:rPr>
        <w:t>, we are</w:t>
      </w:r>
      <w:r w:rsidR="007D3B3D">
        <w:rPr>
          <w:rFonts w:ascii="Arial" w:hAnsi="Arial" w:cs="Arial"/>
          <w:sz w:val="24"/>
          <w:szCs w:val="24"/>
        </w:rPr>
        <w:t xml:space="preserve"> able to track student persistence and completion rates</w:t>
      </w:r>
      <w:r w:rsidR="00305CEA">
        <w:rPr>
          <w:rFonts w:ascii="Arial" w:hAnsi="Arial" w:cs="Arial"/>
          <w:sz w:val="24"/>
          <w:szCs w:val="24"/>
        </w:rPr>
        <w:t xml:space="preserve"> for College of Arts &amp; Sciences</w:t>
      </w:r>
      <w:r w:rsidR="00041D64">
        <w:rPr>
          <w:rFonts w:ascii="Arial" w:hAnsi="Arial" w:cs="Arial"/>
          <w:sz w:val="24"/>
          <w:szCs w:val="24"/>
        </w:rPr>
        <w:t xml:space="preserve"> </w:t>
      </w:r>
      <w:r w:rsidR="00305CEA">
        <w:rPr>
          <w:rFonts w:ascii="Arial" w:hAnsi="Arial" w:cs="Arial"/>
          <w:sz w:val="24"/>
          <w:szCs w:val="24"/>
        </w:rPr>
        <w:t xml:space="preserve">students who are no longer enrolled in the College.  </w:t>
      </w:r>
    </w:p>
    <w:p w:rsidR="00EF1434" w:rsidRDefault="006E4EA8" w:rsidP="00305CEA">
      <w:pPr>
        <w:rPr>
          <w:rFonts w:ascii="Arial" w:hAnsi="Arial" w:cs="Arial"/>
          <w:sz w:val="24"/>
          <w:szCs w:val="24"/>
        </w:rPr>
      </w:pPr>
      <w:r>
        <w:rPr>
          <w:rFonts w:ascii="Arial" w:hAnsi="Arial" w:cs="Arial"/>
          <w:sz w:val="24"/>
          <w:szCs w:val="24"/>
        </w:rPr>
        <w:t xml:space="preserve">Examining the transfer </w:t>
      </w:r>
      <w:r w:rsidR="00481341">
        <w:rPr>
          <w:rFonts w:ascii="Arial" w:hAnsi="Arial" w:cs="Arial"/>
          <w:sz w:val="24"/>
          <w:szCs w:val="24"/>
        </w:rPr>
        <w:t>out behavior for the College of</w:t>
      </w:r>
      <w:r w:rsidR="00426EBA">
        <w:rPr>
          <w:rFonts w:ascii="Arial" w:hAnsi="Arial" w:cs="Arial"/>
          <w:sz w:val="24"/>
          <w:szCs w:val="24"/>
        </w:rPr>
        <w:t xml:space="preserve"> Arts &amp; Sciences </w:t>
      </w:r>
      <w:r w:rsidR="007009EE" w:rsidRPr="00FB2EA8">
        <w:rPr>
          <w:rFonts w:ascii="Arial" w:hAnsi="Arial" w:cs="Arial"/>
          <w:sz w:val="24"/>
          <w:szCs w:val="24"/>
        </w:rPr>
        <w:t>First-Time Full-Time Entering F</w:t>
      </w:r>
      <w:r w:rsidR="00DC2AAF">
        <w:rPr>
          <w:rFonts w:ascii="Arial" w:hAnsi="Arial" w:cs="Arial"/>
          <w:sz w:val="24"/>
          <w:szCs w:val="24"/>
        </w:rPr>
        <w:t>reshmen</w:t>
      </w:r>
      <w:r w:rsidR="001218A2">
        <w:rPr>
          <w:rFonts w:ascii="Arial" w:hAnsi="Arial" w:cs="Arial"/>
          <w:sz w:val="24"/>
          <w:szCs w:val="24"/>
        </w:rPr>
        <w:t xml:space="preserve"> for</w:t>
      </w:r>
      <w:r w:rsidR="007009EE" w:rsidRPr="00FB2EA8">
        <w:rPr>
          <w:rFonts w:ascii="Arial" w:hAnsi="Arial" w:cs="Arial"/>
          <w:sz w:val="24"/>
          <w:szCs w:val="24"/>
        </w:rPr>
        <w:t xml:space="preserve"> Fall 2005, Fall 2006, and Fall 2007</w:t>
      </w:r>
      <w:r w:rsidR="00481341">
        <w:rPr>
          <w:rFonts w:ascii="Arial" w:hAnsi="Arial" w:cs="Arial"/>
          <w:sz w:val="24"/>
          <w:szCs w:val="24"/>
        </w:rPr>
        <w:t xml:space="preserve"> shows very similar behavior to that found in the NSC study.  Of the 569 </w:t>
      </w:r>
      <w:r>
        <w:rPr>
          <w:rFonts w:ascii="Arial" w:hAnsi="Arial" w:cs="Arial"/>
          <w:sz w:val="24"/>
          <w:szCs w:val="24"/>
        </w:rPr>
        <w:t>students from these three cohorts who are no longer enrolled and have not graduated</w:t>
      </w:r>
      <w:r w:rsidR="002523B3">
        <w:rPr>
          <w:rFonts w:ascii="Arial" w:hAnsi="Arial" w:cs="Arial"/>
          <w:sz w:val="24"/>
          <w:szCs w:val="24"/>
        </w:rPr>
        <w:t xml:space="preserve"> from Redlands</w:t>
      </w:r>
      <w:r>
        <w:rPr>
          <w:rFonts w:ascii="Arial" w:hAnsi="Arial" w:cs="Arial"/>
          <w:sz w:val="24"/>
          <w:szCs w:val="24"/>
        </w:rPr>
        <w:t xml:space="preserve">, </w:t>
      </w:r>
      <w:r w:rsidR="00481341">
        <w:rPr>
          <w:rFonts w:ascii="Arial" w:hAnsi="Arial" w:cs="Arial"/>
          <w:sz w:val="24"/>
          <w:szCs w:val="24"/>
        </w:rPr>
        <w:t xml:space="preserve">the NSC has subsequent enrollment information on 412 (72%).  </w:t>
      </w:r>
      <w:r w:rsidR="00305CEA">
        <w:rPr>
          <w:rFonts w:ascii="Arial" w:hAnsi="Arial" w:cs="Arial"/>
          <w:sz w:val="24"/>
          <w:szCs w:val="24"/>
        </w:rPr>
        <w:t xml:space="preserve">For these </w:t>
      </w:r>
      <w:r>
        <w:rPr>
          <w:rFonts w:ascii="Arial" w:hAnsi="Arial" w:cs="Arial"/>
          <w:sz w:val="24"/>
          <w:szCs w:val="24"/>
        </w:rPr>
        <w:t xml:space="preserve">412 </w:t>
      </w:r>
      <w:r w:rsidR="00305CEA">
        <w:rPr>
          <w:rFonts w:ascii="Arial" w:hAnsi="Arial" w:cs="Arial"/>
          <w:sz w:val="24"/>
          <w:szCs w:val="24"/>
        </w:rPr>
        <w:t>students</w:t>
      </w:r>
      <w:r>
        <w:rPr>
          <w:rFonts w:ascii="Arial" w:hAnsi="Arial" w:cs="Arial"/>
          <w:sz w:val="24"/>
          <w:szCs w:val="24"/>
        </w:rPr>
        <w:t>:</w:t>
      </w:r>
    </w:p>
    <w:p w:rsidR="00305CEA" w:rsidRDefault="00305CEA" w:rsidP="00305CEA">
      <w:pPr>
        <w:pStyle w:val="ListParagraph"/>
        <w:numPr>
          <w:ilvl w:val="0"/>
          <w:numId w:val="7"/>
        </w:numPr>
        <w:rPr>
          <w:rFonts w:ascii="Arial" w:hAnsi="Arial" w:cs="Arial"/>
          <w:sz w:val="24"/>
          <w:szCs w:val="24"/>
        </w:rPr>
      </w:pPr>
      <w:r>
        <w:rPr>
          <w:rFonts w:ascii="Arial" w:hAnsi="Arial" w:cs="Arial"/>
          <w:sz w:val="24"/>
          <w:szCs w:val="24"/>
        </w:rPr>
        <w:t>57% Transferred prior to their 2</w:t>
      </w:r>
      <w:r w:rsidRPr="00305CEA">
        <w:rPr>
          <w:rFonts w:ascii="Arial" w:hAnsi="Arial" w:cs="Arial"/>
          <w:sz w:val="24"/>
          <w:szCs w:val="24"/>
          <w:vertAlign w:val="superscript"/>
        </w:rPr>
        <w:t>nd</w:t>
      </w:r>
      <w:r>
        <w:rPr>
          <w:rFonts w:ascii="Arial" w:hAnsi="Arial" w:cs="Arial"/>
          <w:sz w:val="24"/>
          <w:szCs w:val="24"/>
        </w:rPr>
        <w:t xml:space="preserve"> year</w:t>
      </w:r>
    </w:p>
    <w:p w:rsidR="00305CEA" w:rsidRDefault="00305CEA" w:rsidP="00305CEA">
      <w:pPr>
        <w:pStyle w:val="ListParagraph"/>
        <w:numPr>
          <w:ilvl w:val="0"/>
          <w:numId w:val="7"/>
        </w:numPr>
        <w:rPr>
          <w:rFonts w:ascii="Arial" w:hAnsi="Arial" w:cs="Arial"/>
          <w:sz w:val="24"/>
          <w:szCs w:val="24"/>
        </w:rPr>
      </w:pPr>
      <w:r>
        <w:rPr>
          <w:rFonts w:ascii="Arial" w:hAnsi="Arial" w:cs="Arial"/>
          <w:sz w:val="24"/>
          <w:szCs w:val="24"/>
        </w:rPr>
        <w:t>27% Transferred prior to their 3</w:t>
      </w:r>
      <w:r w:rsidRPr="00305CEA">
        <w:rPr>
          <w:rFonts w:ascii="Arial" w:hAnsi="Arial" w:cs="Arial"/>
          <w:sz w:val="24"/>
          <w:szCs w:val="24"/>
          <w:vertAlign w:val="superscript"/>
        </w:rPr>
        <w:t>rd</w:t>
      </w:r>
      <w:r>
        <w:rPr>
          <w:rFonts w:ascii="Arial" w:hAnsi="Arial" w:cs="Arial"/>
          <w:sz w:val="24"/>
          <w:szCs w:val="24"/>
        </w:rPr>
        <w:t xml:space="preserve"> year</w:t>
      </w:r>
    </w:p>
    <w:p w:rsidR="00305CEA" w:rsidRDefault="00305CEA" w:rsidP="00305CEA">
      <w:pPr>
        <w:pStyle w:val="ListParagraph"/>
        <w:numPr>
          <w:ilvl w:val="0"/>
          <w:numId w:val="7"/>
        </w:numPr>
        <w:rPr>
          <w:rFonts w:ascii="Arial" w:hAnsi="Arial" w:cs="Arial"/>
          <w:sz w:val="24"/>
          <w:szCs w:val="24"/>
        </w:rPr>
      </w:pPr>
      <w:r>
        <w:rPr>
          <w:rFonts w:ascii="Arial" w:hAnsi="Arial" w:cs="Arial"/>
          <w:sz w:val="24"/>
          <w:szCs w:val="24"/>
        </w:rPr>
        <w:t>7% Transferred prior to their 4</w:t>
      </w:r>
      <w:r w:rsidRPr="00305CEA">
        <w:rPr>
          <w:rFonts w:ascii="Arial" w:hAnsi="Arial" w:cs="Arial"/>
          <w:sz w:val="24"/>
          <w:szCs w:val="24"/>
          <w:vertAlign w:val="superscript"/>
        </w:rPr>
        <w:t>th</w:t>
      </w:r>
      <w:r>
        <w:rPr>
          <w:rFonts w:ascii="Arial" w:hAnsi="Arial" w:cs="Arial"/>
          <w:sz w:val="24"/>
          <w:szCs w:val="24"/>
        </w:rPr>
        <w:t xml:space="preserve"> year</w:t>
      </w:r>
    </w:p>
    <w:p w:rsidR="00305CEA" w:rsidRPr="00305CEA" w:rsidRDefault="00305CEA" w:rsidP="00305CEA">
      <w:pPr>
        <w:pStyle w:val="ListParagraph"/>
        <w:numPr>
          <w:ilvl w:val="0"/>
          <w:numId w:val="7"/>
        </w:numPr>
        <w:rPr>
          <w:rFonts w:ascii="Arial" w:hAnsi="Arial" w:cs="Arial"/>
          <w:sz w:val="24"/>
          <w:szCs w:val="24"/>
        </w:rPr>
      </w:pPr>
      <w:r>
        <w:rPr>
          <w:rFonts w:ascii="Arial" w:hAnsi="Arial" w:cs="Arial"/>
          <w:sz w:val="24"/>
          <w:szCs w:val="24"/>
        </w:rPr>
        <w:t>8% Transferred after they were enrolled in fall of their 4</w:t>
      </w:r>
      <w:r w:rsidRPr="00305CEA">
        <w:rPr>
          <w:rFonts w:ascii="Arial" w:hAnsi="Arial" w:cs="Arial"/>
          <w:sz w:val="24"/>
          <w:szCs w:val="24"/>
          <w:vertAlign w:val="superscript"/>
        </w:rPr>
        <w:t>th</w:t>
      </w:r>
      <w:r>
        <w:rPr>
          <w:rFonts w:ascii="Arial" w:hAnsi="Arial" w:cs="Arial"/>
          <w:sz w:val="24"/>
          <w:szCs w:val="24"/>
        </w:rPr>
        <w:t xml:space="preserve"> year</w:t>
      </w:r>
    </w:p>
    <w:p w:rsidR="00B77FA3" w:rsidRDefault="007D3B3D" w:rsidP="00FB2EA8">
      <w:pPr>
        <w:rPr>
          <w:rFonts w:ascii="Arial" w:hAnsi="Arial" w:cs="Arial"/>
          <w:sz w:val="24"/>
          <w:szCs w:val="24"/>
        </w:rPr>
      </w:pPr>
      <w:r>
        <w:rPr>
          <w:rFonts w:ascii="Arial" w:hAnsi="Arial" w:cs="Arial"/>
          <w:sz w:val="24"/>
          <w:szCs w:val="24"/>
        </w:rPr>
        <w:t>Not only are students transferring to another institution, many attend more than two</w:t>
      </w:r>
      <w:r w:rsidR="00DC2AAF">
        <w:rPr>
          <w:rFonts w:ascii="Arial" w:hAnsi="Arial" w:cs="Arial"/>
          <w:sz w:val="24"/>
          <w:szCs w:val="24"/>
        </w:rPr>
        <w:t xml:space="preserve"> colleges or universities</w:t>
      </w:r>
      <w:r>
        <w:rPr>
          <w:rFonts w:ascii="Arial" w:hAnsi="Arial" w:cs="Arial"/>
          <w:sz w:val="24"/>
          <w:szCs w:val="24"/>
        </w:rPr>
        <w:t xml:space="preserve"> in pursuit of their degree.  </w:t>
      </w:r>
      <w:r w:rsidR="00DC2AAF">
        <w:rPr>
          <w:rFonts w:ascii="Arial" w:hAnsi="Arial" w:cs="Arial"/>
          <w:sz w:val="24"/>
          <w:szCs w:val="24"/>
        </w:rPr>
        <w:t>G</w:t>
      </w:r>
      <w:r w:rsidR="000321D3">
        <w:rPr>
          <w:rFonts w:ascii="Arial" w:hAnsi="Arial" w:cs="Arial"/>
          <w:sz w:val="24"/>
          <w:szCs w:val="24"/>
        </w:rPr>
        <w:t xml:space="preserve">raphic </w:t>
      </w:r>
      <w:r w:rsidR="00305CEA">
        <w:rPr>
          <w:rFonts w:ascii="Arial" w:hAnsi="Arial" w:cs="Arial"/>
          <w:sz w:val="24"/>
          <w:szCs w:val="24"/>
        </w:rPr>
        <w:t>1</w:t>
      </w:r>
      <w:r w:rsidR="000321D3">
        <w:rPr>
          <w:rFonts w:ascii="Arial" w:hAnsi="Arial" w:cs="Arial"/>
          <w:sz w:val="24"/>
          <w:szCs w:val="24"/>
        </w:rPr>
        <w:t xml:space="preserve"> </w:t>
      </w:r>
      <w:r w:rsidR="002523B3">
        <w:rPr>
          <w:rFonts w:ascii="Arial" w:hAnsi="Arial" w:cs="Arial"/>
          <w:sz w:val="24"/>
          <w:szCs w:val="24"/>
        </w:rPr>
        <w:t>presents</w:t>
      </w:r>
      <w:r w:rsidR="00DC2AAF">
        <w:rPr>
          <w:rFonts w:ascii="Arial" w:hAnsi="Arial" w:cs="Arial"/>
          <w:sz w:val="24"/>
          <w:szCs w:val="24"/>
        </w:rPr>
        <w:t xml:space="preserve"> the </w:t>
      </w:r>
      <w:r>
        <w:rPr>
          <w:rFonts w:ascii="Arial" w:hAnsi="Arial" w:cs="Arial"/>
          <w:sz w:val="24"/>
          <w:szCs w:val="24"/>
        </w:rPr>
        <w:t>break</w:t>
      </w:r>
      <w:r w:rsidR="002523B3">
        <w:rPr>
          <w:rFonts w:ascii="Arial" w:hAnsi="Arial" w:cs="Arial"/>
          <w:sz w:val="24"/>
          <w:szCs w:val="24"/>
        </w:rPr>
        <w:t>-</w:t>
      </w:r>
      <w:r w:rsidR="00DC2AAF">
        <w:rPr>
          <w:rFonts w:ascii="Arial" w:hAnsi="Arial" w:cs="Arial"/>
          <w:sz w:val="24"/>
          <w:szCs w:val="24"/>
        </w:rPr>
        <w:t xml:space="preserve">out of </w:t>
      </w:r>
      <w:r w:rsidR="007C543D">
        <w:rPr>
          <w:rFonts w:ascii="Arial" w:hAnsi="Arial" w:cs="Arial"/>
          <w:sz w:val="24"/>
          <w:szCs w:val="24"/>
        </w:rPr>
        <w:t xml:space="preserve">schools attended </w:t>
      </w:r>
      <w:r w:rsidR="006E4EA8">
        <w:rPr>
          <w:rFonts w:ascii="Arial" w:hAnsi="Arial" w:cs="Arial"/>
          <w:sz w:val="24"/>
          <w:szCs w:val="24"/>
        </w:rPr>
        <w:t>for our</w:t>
      </w:r>
      <w:r w:rsidR="00DC2AAF">
        <w:rPr>
          <w:rFonts w:ascii="Arial" w:hAnsi="Arial" w:cs="Arial"/>
          <w:sz w:val="24"/>
          <w:szCs w:val="24"/>
        </w:rPr>
        <w:t xml:space="preserve"> group.  As an outlier, one student has atte</w:t>
      </w:r>
      <w:r w:rsidR="006E4EA8">
        <w:rPr>
          <w:rFonts w:ascii="Arial" w:hAnsi="Arial" w:cs="Arial"/>
          <w:sz w:val="24"/>
          <w:szCs w:val="24"/>
        </w:rPr>
        <w:t xml:space="preserve">nded 8 subsequent institutions </w:t>
      </w:r>
      <w:r w:rsidR="007C543D">
        <w:rPr>
          <w:rFonts w:ascii="Arial" w:hAnsi="Arial" w:cs="Arial"/>
          <w:sz w:val="24"/>
          <w:szCs w:val="24"/>
        </w:rPr>
        <w:t xml:space="preserve">after Redlands </w:t>
      </w:r>
      <w:r w:rsidR="00DC2AAF">
        <w:rPr>
          <w:rFonts w:ascii="Arial" w:hAnsi="Arial" w:cs="Arial"/>
          <w:sz w:val="24"/>
          <w:szCs w:val="24"/>
        </w:rPr>
        <w:t xml:space="preserve">– that student has not yet been awarded a degree.  </w:t>
      </w:r>
    </w:p>
    <w:p w:rsidR="00305CEA" w:rsidRDefault="00305CEA" w:rsidP="000321D3">
      <w:pPr>
        <w:jc w:val="center"/>
        <w:rPr>
          <w:rFonts w:ascii="Arial" w:hAnsi="Arial" w:cs="Arial"/>
          <w:b/>
          <w:sz w:val="24"/>
          <w:szCs w:val="24"/>
        </w:rPr>
      </w:pPr>
    </w:p>
    <w:p w:rsidR="00305CEA" w:rsidRDefault="00305CEA" w:rsidP="000321D3">
      <w:pPr>
        <w:jc w:val="center"/>
        <w:rPr>
          <w:rFonts w:ascii="Arial" w:hAnsi="Arial" w:cs="Arial"/>
          <w:b/>
          <w:sz w:val="24"/>
          <w:szCs w:val="24"/>
        </w:rPr>
      </w:pPr>
    </w:p>
    <w:p w:rsidR="00305CEA" w:rsidRDefault="00305CEA" w:rsidP="000321D3">
      <w:pPr>
        <w:jc w:val="center"/>
        <w:rPr>
          <w:rFonts w:ascii="Arial" w:hAnsi="Arial" w:cs="Arial"/>
          <w:b/>
          <w:sz w:val="24"/>
          <w:szCs w:val="24"/>
        </w:rPr>
      </w:pPr>
    </w:p>
    <w:p w:rsidR="000321D3" w:rsidRPr="000321D3" w:rsidRDefault="00FD5C05" w:rsidP="000321D3">
      <w:pPr>
        <w:jc w:val="center"/>
        <w:rPr>
          <w:rFonts w:ascii="Arial" w:hAnsi="Arial" w:cs="Arial"/>
          <w:b/>
          <w:sz w:val="24"/>
          <w:szCs w:val="24"/>
        </w:rPr>
      </w:pPr>
      <w:r>
        <w:rPr>
          <w:rFonts w:ascii="Arial" w:hAnsi="Arial" w:cs="Arial"/>
          <w:b/>
          <w:sz w:val="24"/>
          <w:szCs w:val="24"/>
        </w:rPr>
        <w:lastRenderedPageBreak/>
        <w:t xml:space="preserve">Graphic </w:t>
      </w:r>
      <w:r w:rsidR="00305CEA">
        <w:rPr>
          <w:rFonts w:ascii="Arial" w:hAnsi="Arial" w:cs="Arial"/>
          <w:b/>
          <w:sz w:val="24"/>
          <w:szCs w:val="24"/>
        </w:rPr>
        <w:t>1</w:t>
      </w:r>
      <w:r w:rsidR="000321D3" w:rsidRPr="000321D3">
        <w:rPr>
          <w:rFonts w:ascii="Arial" w:hAnsi="Arial" w:cs="Arial"/>
          <w:b/>
          <w:sz w:val="24"/>
          <w:szCs w:val="24"/>
        </w:rPr>
        <w:t>:  Number of Schools Attended</w:t>
      </w:r>
    </w:p>
    <w:p w:rsidR="00FB23E9" w:rsidRDefault="007C543D" w:rsidP="000321D3">
      <w:pPr>
        <w:jc w:val="center"/>
        <w:rPr>
          <w:rFonts w:ascii="Arial" w:hAnsi="Arial" w:cs="Arial"/>
          <w:sz w:val="24"/>
          <w:szCs w:val="24"/>
        </w:rPr>
      </w:pPr>
      <w:r>
        <w:rPr>
          <w:rFonts w:ascii="Arial" w:hAnsi="Arial" w:cs="Arial"/>
          <w:noProof/>
          <w:sz w:val="24"/>
          <w:szCs w:val="24"/>
        </w:rPr>
        <w:drawing>
          <wp:inline distT="0" distB="0" distL="0" distR="0">
            <wp:extent cx="3829382" cy="277616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32727" cy="2778594"/>
                    </a:xfrm>
                    <a:prstGeom prst="rect">
                      <a:avLst/>
                    </a:prstGeom>
                    <a:noFill/>
                  </pic:spPr>
                </pic:pic>
              </a:graphicData>
            </a:graphic>
          </wp:inline>
        </w:drawing>
      </w:r>
    </w:p>
    <w:p w:rsidR="00305CEA" w:rsidRDefault="00554E78" w:rsidP="00554E78">
      <w:pPr>
        <w:rPr>
          <w:rFonts w:ascii="Arial" w:hAnsi="Arial" w:cs="Arial"/>
          <w:sz w:val="24"/>
          <w:szCs w:val="24"/>
        </w:rPr>
      </w:pPr>
      <w:r w:rsidRPr="00045E97">
        <w:rPr>
          <w:rFonts w:ascii="Arial" w:hAnsi="Arial" w:cs="Arial"/>
          <w:sz w:val="24"/>
          <w:szCs w:val="24"/>
        </w:rPr>
        <w:t xml:space="preserve">The types of schools to which students </w:t>
      </w:r>
      <w:r w:rsidR="006E4EA8">
        <w:rPr>
          <w:rFonts w:ascii="Arial" w:hAnsi="Arial" w:cs="Arial"/>
          <w:sz w:val="24"/>
          <w:szCs w:val="24"/>
        </w:rPr>
        <w:t xml:space="preserve">initially </w:t>
      </w:r>
      <w:r w:rsidRPr="00045E97">
        <w:rPr>
          <w:rFonts w:ascii="Arial" w:hAnsi="Arial" w:cs="Arial"/>
          <w:sz w:val="24"/>
          <w:szCs w:val="24"/>
        </w:rPr>
        <w:t>transferred varied</w:t>
      </w:r>
      <w:r>
        <w:rPr>
          <w:rFonts w:ascii="Arial" w:hAnsi="Arial" w:cs="Arial"/>
          <w:sz w:val="24"/>
          <w:szCs w:val="24"/>
        </w:rPr>
        <w:t>.  Less than half</w:t>
      </w:r>
      <w:r w:rsidRPr="00045E97">
        <w:rPr>
          <w:rFonts w:ascii="Arial" w:hAnsi="Arial" w:cs="Arial"/>
          <w:sz w:val="24"/>
          <w:szCs w:val="24"/>
        </w:rPr>
        <w:t xml:space="preserve"> of the students remained in California (185 of the 41</w:t>
      </w:r>
      <w:r>
        <w:rPr>
          <w:rFonts w:ascii="Arial" w:hAnsi="Arial" w:cs="Arial"/>
          <w:sz w:val="24"/>
          <w:szCs w:val="24"/>
        </w:rPr>
        <w:t>2</w:t>
      </w:r>
      <w:r w:rsidRPr="00045E97">
        <w:rPr>
          <w:rFonts w:ascii="Arial" w:hAnsi="Arial" w:cs="Arial"/>
          <w:sz w:val="24"/>
          <w:szCs w:val="24"/>
        </w:rPr>
        <w:t xml:space="preserve">).  </w:t>
      </w:r>
      <w:r>
        <w:rPr>
          <w:rFonts w:ascii="Arial" w:hAnsi="Arial" w:cs="Arial"/>
          <w:sz w:val="24"/>
          <w:szCs w:val="24"/>
        </w:rPr>
        <w:t xml:space="preserve"> </w:t>
      </w:r>
      <w:r w:rsidR="006E4EA8">
        <w:rPr>
          <w:rFonts w:ascii="Arial" w:hAnsi="Arial" w:cs="Arial"/>
          <w:sz w:val="24"/>
          <w:szCs w:val="24"/>
        </w:rPr>
        <w:t xml:space="preserve">Ninety-nine (24%) students transferred to another private institution.  </w:t>
      </w:r>
      <w:r>
        <w:rPr>
          <w:rFonts w:ascii="Arial" w:hAnsi="Arial" w:cs="Arial"/>
          <w:sz w:val="24"/>
          <w:szCs w:val="24"/>
        </w:rPr>
        <w:t>One hundred fifty-eight (38%) transferred to a public 2</w:t>
      </w:r>
      <w:r w:rsidR="002523B3">
        <w:rPr>
          <w:rFonts w:ascii="Arial" w:hAnsi="Arial" w:cs="Arial"/>
          <w:sz w:val="24"/>
          <w:szCs w:val="24"/>
        </w:rPr>
        <w:t>-</w:t>
      </w:r>
      <w:r>
        <w:rPr>
          <w:rFonts w:ascii="Arial" w:hAnsi="Arial" w:cs="Arial"/>
          <w:sz w:val="24"/>
          <w:szCs w:val="24"/>
        </w:rPr>
        <w:t>year institution.  One hundred fifty-five (38%) transferred to a public 4</w:t>
      </w:r>
      <w:r w:rsidR="002523B3">
        <w:rPr>
          <w:rFonts w:ascii="Arial" w:hAnsi="Arial" w:cs="Arial"/>
          <w:sz w:val="24"/>
          <w:szCs w:val="24"/>
        </w:rPr>
        <w:t>-</w:t>
      </w:r>
      <w:r>
        <w:rPr>
          <w:rFonts w:ascii="Arial" w:hAnsi="Arial" w:cs="Arial"/>
          <w:sz w:val="24"/>
          <w:szCs w:val="24"/>
        </w:rPr>
        <w:t xml:space="preserve">year institution.   </w:t>
      </w:r>
    </w:p>
    <w:p w:rsidR="00305CEA" w:rsidRDefault="00305CEA" w:rsidP="00684B73">
      <w:pPr>
        <w:rPr>
          <w:rFonts w:ascii="Arial" w:hAnsi="Arial" w:cs="Arial"/>
          <w:sz w:val="24"/>
          <w:szCs w:val="24"/>
        </w:rPr>
      </w:pPr>
      <w:r>
        <w:rPr>
          <w:rFonts w:ascii="Arial" w:hAnsi="Arial" w:cs="Arial"/>
          <w:sz w:val="24"/>
          <w:szCs w:val="24"/>
        </w:rPr>
        <w:t>Of the 412 transfer out students, 163 have been awarded a bachelor</w:t>
      </w:r>
      <w:r w:rsidR="002523B3">
        <w:rPr>
          <w:rFonts w:ascii="Arial" w:hAnsi="Arial" w:cs="Arial"/>
          <w:sz w:val="24"/>
          <w:szCs w:val="24"/>
        </w:rPr>
        <w:t>’</w:t>
      </w:r>
      <w:r>
        <w:rPr>
          <w:rFonts w:ascii="Arial" w:hAnsi="Arial" w:cs="Arial"/>
          <w:sz w:val="24"/>
          <w:szCs w:val="24"/>
        </w:rPr>
        <w:t>s degree</w:t>
      </w:r>
      <w:r w:rsidR="006E4EA8">
        <w:rPr>
          <w:rFonts w:ascii="Arial" w:hAnsi="Arial" w:cs="Arial"/>
          <w:sz w:val="24"/>
          <w:szCs w:val="24"/>
        </w:rPr>
        <w:t xml:space="preserve"> as of January 1, 2012</w:t>
      </w:r>
      <w:r>
        <w:rPr>
          <w:rFonts w:ascii="Arial" w:hAnsi="Arial" w:cs="Arial"/>
          <w:sz w:val="24"/>
          <w:szCs w:val="24"/>
        </w:rPr>
        <w:t xml:space="preserve">. </w:t>
      </w:r>
      <w:r w:rsidR="004F354D">
        <w:rPr>
          <w:rFonts w:ascii="Arial" w:hAnsi="Arial" w:cs="Arial"/>
          <w:sz w:val="24"/>
          <w:szCs w:val="24"/>
        </w:rPr>
        <w:t xml:space="preserve">While </w:t>
      </w:r>
      <w:r>
        <w:rPr>
          <w:rFonts w:ascii="Arial" w:hAnsi="Arial" w:cs="Arial"/>
          <w:sz w:val="24"/>
          <w:szCs w:val="24"/>
        </w:rPr>
        <w:t xml:space="preserve">many students </w:t>
      </w:r>
      <w:r w:rsidR="007C543D">
        <w:rPr>
          <w:rFonts w:ascii="Arial" w:hAnsi="Arial" w:cs="Arial"/>
          <w:sz w:val="24"/>
          <w:szCs w:val="24"/>
        </w:rPr>
        <w:t>45</w:t>
      </w:r>
      <w:r w:rsidR="002523B3">
        <w:rPr>
          <w:rFonts w:ascii="Arial" w:hAnsi="Arial" w:cs="Arial"/>
          <w:sz w:val="24"/>
          <w:szCs w:val="24"/>
        </w:rPr>
        <w:t xml:space="preserve">% </w:t>
      </w:r>
      <w:r>
        <w:rPr>
          <w:rFonts w:ascii="Arial" w:hAnsi="Arial" w:cs="Arial"/>
          <w:sz w:val="24"/>
          <w:szCs w:val="24"/>
        </w:rPr>
        <w:t xml:space="preserve">did attend more than 2 schools, </w:t>
      </w:r>
      <w:r w:rsidR="00F26961">
        <w:rPr>
          <w:rFonts w:ascii="Arial" w:hAnsi="Arial" w:cs="Arial"/>
          <w:sz w:val="24"/>
          <w:szCs w:val="24"/>
        </w:rPr>
        <w:t xml:space="preserve">82% </w:t>
      </w:r>
      <w:r w:rsidR="004F354D">
        <w:rPr>
          <w:rFonts w:ascii="Arial" w:hAnsi="Arial" w:cs="Arial"/>
          <w:sz w:val="24"/>
          <w:szCs w:val="24"/>
        </w:rPr>
        <w:t>of</w:t>
      </w:r>
      <w:r w:rsidR="009F05FC">
        <w:rPr>
          <w:rFonts w:ascii="Arial" w:hAnsi="Arial" w:cs="Arial"/>
          <w:sz w:val="24"/>
          <w:szCs w:val="24"/>
        </w:rPr>
        <w:t xml:space="preserve"> those students who have </w:t>
      </w:r>
      <w:r w:rsidR="004F354D">
        <w:rPr>
          <w:rFonts w:ascii="Arial" w:hAnsi="Arial" w:cs="Arial"/>
          <w:sz w:val="24"/>
          <w:szCs w:val="24"/>
        </w:rPr>
        <w:t xml:space="preserve">completed their undergraduate degree </w:t>
      </w:r>
      <w:r w:rsidR="00F26961">
        <w:rPr>
          <w:rFonts w:ascii="Arial" w:hAnsi="Arial" w:cs="Arial"/>
          <w:sz w:val="24"/>
          <w:szCs w:val="24"/>
        </w:rPr>
        <w:t xml:space="preserve">were awarded degrees from the first school to which they transferred.  </w:t>
      </w:r>
    </w:p>
    <w:p w:rsidR="00305CEA" w:rsidRDefault="00305CEA" w:rsidP="00305CEA">
      <w:pPr>
        <w:rPr>
          <w:rFonts w:ascii="Arial" w:hAnsi="Arial" w:cs="Arial"/>
          <w:sz w:val="24"/>
          <w:szCs w:val="24"/>
        </w:rPr>
      </w:pPr>
      <w:r>
        <w:rPr>
          <w:rFonts w:ascii="Arial" w:hAnsi="Arial" w:cs="Arial"/>
          <w:sz w:val="24"/>
          <w:szCs w:val="24"/>
        </w:rPr>
        <w:t xml:space="preserve">For </w:t>
      </w:r>
      <w:r w:rsidR="00161BC8">
        <w:rPr>
          <w:rFonts w:ascii="Arial" w:hAnsi="Arial" w:cs="Arial"/>
          <w:sz w:val="24"/>
          <w:szCs w:val="24"/>
        </w:rPr>
        <w:t xml:space="preserve">the degrees awarded, 75 </w:t>
      </w:r>
      <w:r>
        <w:rPr>
          <w:rFonts w:ascii="Arial" w:hAnsi="Arial" w:cs="Arial"/>
          <w:sz w:val="24"/>
          <w:szCs w:val="24"/>
        </w:rPr>
        <w:t xml:space="preserve">were awarded from private schools and </w:t>
      </w:r>
      <w:r w:rsidR="009F05FC">
        <w:rPr>
          <w:rFonts w:ascii="Arial" w:hAnsi="Arial" w:cs="Arial"/>
          <w:sz w:val="24"/>
          <w:szCs w:val="24"/>
        </w:rPr>
        <w:t>88 from public schools.  Graphic 2</w:t>
      </w:r>
      <w:r>
        <w:rPr>
          <w:rFonts w:ascii="Arial" w:hAnsi="Arial" w:cs="Arial"/>
          <w:sz w:val="24"/>
          <w:szCs w:val="24"/>
        </w:rPr>
        <w:t xml:space="preserve"> </w:t>
      </w:r>
      <w:r w:rsidR="009F05FC">
        <w:rPr>
          <w:rFonts w:ascii="Arial" w:hAnsi="Arial" w:cs="Arial"/>
          <w:sz w:val="24"/>
          <w:szCs w:val="24"/>
        </w:rPr>
        <w:t>lists the schools which awarded degrees to more than one</w:t>
      </w:r>
      <w:r w:rsidR="00161BC8">
        <w:rPr>
          <w:rFonts w:ascii="Arial" w:hAnsi="Arial" w:cs="Arial"/>
          <w:sz w:val="24"/>
          <w:szCs w:val="24"/>
        </w:rPr>
        <w:t xml:space="preserve"> </w:t>
      </w:r>
      <w:r w:rsidR="009563D3">
        <w:rPr>
          <w:rFonts w:ascii="Arial" w:hAnsi="Arial" w:cs="Arial"/>
          <w:sz w:val="24"/>
          <w:szCs w:val="24"/>
        </w:rPr>
        <w:t>Redlands student</w:t>
      </w:r>
      <w:r>
        <w:rPr>
          <w:rFonts w:ascii="Arial" w:hAnsi="Arial" w:cs="Arial"/>
          <w:sz w:val="24"/>
          <w:szCs w:val="24"/>
        </w:rPr>
        <w:t xml:space="preserve">.  </w:t>
      </w:r>
    </w:p>
    <w:p w:rsidR="00305CEA" w:rsidRPr="00FD5C05" w:rsidRDefault="009F05FC" w:rsidP="00305CEA">
      <w:pPr>
        <w:jc w:val="center"/>
        <w:rPr>
          <w:rFonts w:ascii="Arial" w:hAnsi="Arial" w:cs="Arial"/>
          <w:b/>
          <w:sz w:val="24"/>
          <w:szCs w:val="24"/>
        </w:rPr>
      </w:pPr>
      <w:r>
        <w:rPr>
          <w:rFonts w:ascii="Arial" w:hAnsi="Arial" w:cs="Arial"/>
          <w:b/>
          <w:sz w:val="24"/>
          <w:szCs w:val="24"/>
        </w:rPr>
        <w:t>Graphic 2</w:t>
      </w:r>
      <w:r w:rsidR="00305CEA" w:rsidRPr="00FD5C05">
        <w:rPr>
          <w:rFonts w:ascii="Arial" w:hAnsi="Arial" w:cs="Arial"/>
          <w:b/>
          <w:sz w:val="24"/>
          <w:szCs w:val="24"/>
        </w:rPr>
        <w:t>:  Degree Granting Schools</w:t>
      </w:r>
    </w:p>
    <w:p w:rsidR="00305CEA" w:rsidRDefault="00305CEA" w:rsidP="00305CEA">
      <w:pPr>
        <w:jc w:val="center"/>
        <w:rPr>
          <w:rFonts w:ascii="Arial" w:hAnsi="Arial" w:cs="Arial"/>
          <w:sz w:val="24"/>
          <w:szCs w:val="24"/>
        </w:rPr>
      </w:pPr>
      <w:r w:rsidRPr="00FD5C05">
        <w:rPr>
          <w:noProof/>
          <w:szCs w:val="24"/>
        </w:rPr>
        <w:drawing>
          <wp:inline distT="0" distB="0" distL="0" distR="0">
            <wp:extent cx="3743325" cy="2228926"/>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784380" cy="2253372"/>
                    </a:xfrm>
                    <a:prstGeom prst="rect">
                      <a:avLst/>
                    </a:prstGeom>
                    <a:noFill/>
                    <a:ln w="9525">
                      <a:noFill/>
                      <a:miter lim="800000"/>
                      <a:headEnd/>
                      <a:tailEnd/>
                    </a:ln>
                  </pic:spPr>
                </pic:pic>
              </a:graphicData>
            </a:graphic>
          </wp:inline>
        </w:drawing>
      </w:r>
    </w:p>
    <w:p w:rsidR="00F26961" w:rsidRDefault="004F354D" w:rsidP="00684B73">
      <w:pPr>
        <w:rPr>
          <w:rFonts w:ascii="Arial" w:hAnsi="Arial" w:cs="Arial"/>
          <w:sz w:val="24"/>
          <w:szCs w:val="24"/>
        </w:rPr>
      </w:pPr>
      <w:r>
        <w:rPr>
          <w:rFonts w:ascii="Arial" w:hAnsi="Arial" w:cs="Arial"/>
          <w:sz w:val="24"/>
          <w:szCs w:val="24"/>
        </w:rPr>
        <w:lastRenderedPageBreak/>
        <w:t xml:space="preserve">Graphic </w:t>
      </w:r>
      <w:r w:rsidR="009F05FC">
        <w:rPr>
          <w:rFonts w:ascii="Arial" w:hAnsi="Arial" w:cs="Arial"/>
          <w:sz w:val="24"/>
          <w:szCs w:val="24"/>
        </w:rPr>
        <w:t>3</w:t>
      </w:r>
      <w:r>
        <w:rPr>
          <w:rFonts w:ascii="Arial" w:hAnsi="Arial" w:cs="Arial"/>
          <w:sz w:val="24"/>
          <w:szCs w:val="24"/>
        </w:rPr>
        <w:t xml:space="preserve"> gives the break</w:t>
      </w:r>
      <w:r w:rsidR="002523B3">
        <w:rPr>
          <w:rFonts w:ascii="Arial" w:hAnsi="Arial" w:cs="Arial"/>
          <w:sz w:val="24"/>
          <w:szCs w:val="24"/>
        </w:rPr>
        <w:t>-</w:t>
      </w:r>
      <w:r>
        <w:rPr>
          <w:rFonts w:ascii="Arial" w:hAnsi="Arial" w:cs="Arial"/>
          <w:sz w:val="24"/>
          <w:szCs w:val="24"/>
        </w:rPr>
        <w:t>out of the degrees awarded.</w:t>
      </w:r>
    </w:p>
    <w:p w:rsidR="004F354D" w:rsidRPr="004F354D" w:rsidRDefault="00FD5C05" w:rsidP="004F354D">
      <w:pPr>
        <w:jc w:val="center"/>
        <w:rPr>
          <w:rFonts w:ascii="Arial" w:hAnsi="Arial" w:cs="Arial"/>
          <w:b/>
          <w:sz w:val="24"/>
          <w:szCs w:val="24"/>
        </w:rPr>
      </w:pPr>
      <w:r>
        <w:rPr>
          <w:rFonts w:ascii="Arial" w:hAnsi="Arial" w:cs="Arial"/>
          <w:b/>
          <w:sz w:val="24"/>
          <w:szCs w:val="24"/>
        </w:rPr>
        <w:t xml:space="preserve">Graphic </w:t>
      </w:r>
      <w:r w:rsidR="009F05FC">
        <w:rPr>
          <w:rFonts w:ascii="Arial" w:hAnsi="Arial" w:cs="Arial"/>
          <w:b/>
          <w:sz w:val="24"/>
          <w:szCs w:val="24"/>
        </w:rPr>
        <w:t>3</w:t>
      </w:r>
      <w:r w:rsidR="004F354D" w:rsidRPr="004F354D">
        <w:rPr>
          <w:rFonts w:ascii="Arial" w:hAnsi="Arial" w:cs="Arial"/>
          <w:b/>
          <w:sz w:val="24"/>
          <w:szCs w:val="24"/>
        </w:rPr>
        <w:t>:  Degree Awarded</w:t>
      </w:r>
    </w:p>
    <w:p w:rsidR="004F354D" w:rsidRDefault="004F354D" w:rsidP="004F354D">
      <w:pPr>
        <w:jc w:val="center"/>
        <w:rPr>
          <w:rFonts w:ascii="Arial" w:hAnsi="Arial" w:cs="Arial"/>
          <w:sz w:val="24"/>
          <w:szCs w:val="24"/>
        </w:rPr>
      </w:pPr>
      <w:r>
        <w:rPr>
          <w:rFonts w:ascii="Arial" w:hAnsi="Arial" w:cs="Arial"/>
          <w:noProof/>
          <w:sz w:val="24"/>
          <w:szCs w:val="24"/>
        </w:rPr>
        <w:drawing>
          <wp:inline distT="0" distB="0" distL="0" distR="0">
            <wp:extent cx="4512855" cy="3257550"/>
            <wp:effectExtent l="19050" t="0" r="199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28129" cy="3268575"/>
                    </a:xfrm>
                    <a:prstGeom prst="rect">
                      <a:avLst/>
                    </a:prstGeom>
                    <a:noFill/>
                  </pic:spPr>
                </pic:pic>
              </a:graphicData>
            </a:graphic>
          </wp:inline>
        </w:drawing>
      </w:r>
    </w:p>
    <w:p w:rsidR="00481341" w:rsidRPr="00FB2EA8" w:rsidRDefault="00161BC8" w:rsidP="00481341">
      <w:pPr>
        <w:rPr>
          <w:rFonts w:ascii="Arial" w:hAnsi="Arial" w:cs="Arial"/>
          <w:sz w:val="24"/>
          <w:szCs w:val="24"/>
        </w:rPr>
      </w:pPr>
      <w:r>
        <w:rPr>
          <w:rFonts w:ascii="Arial" w:hAnsi="Arial" w:cs="Arial"/>
          <w:sz w:val="24"/>
          <w:szCs w:val="24"/>
        </w:rPr>
        <w:t>While the graduation rate metric continues to be the internal 6</w:t>
      </w:r>
      <w:r w:rsidR="002523B3">
        <w:rPr>
          <w:rFonts w:ascii="Arial" w:hAnsi="Arial" w:cs="Arial"/>
          <w:sz w:val="24"/>
          <w:szCs w:val="24"/>
        </w:rPr>
        <w:t>-</w:t>
      </w:r>
      <w:r>
        <w:rPr>
          <w:rFonts w:ascii="Arial" w:hAnsi="Arial" w:cs="Arial"/>
          <w:sz w:val="24"/>
          <w:szCs w:val="24"/>
        </w:rPr>
        <w:t xml:space="preserve">year graduation rate for First-Time Full-Time Entering Freshmen, we can also include the graduation information for those students who were awarded degrees from other institutions.  </w:t>
      </w:r>
      <w:r w:rsidR="009F05FC">
        <w:rPr>
          <w:rFonts w:ascii="Arial" w:hAnsi="Arial" w:cs="Arial"/>
          <w:sz w:val="24"/>
          <w:szCs w:val="24"/>
        </w:rPr>
        <w:t xml:space="preserve">Graphic </w:t>
      </w:r>
      <w:r>
        <w:rPr>
          <w:rFonts w:ascii="Arial" w:hAnsi="Arial" w:cs="Arial"/>
          <w:sz w:val="24"/>
          <w:szCs w:val="24"/>
        </w:rPr>
        <w:t>4</w:t>
      </w:r>
      <w:r w:rsidR="00481341" w:rsidRPr="00F11411">
        <w:rPr>
          <w:rFonts w:ascii="Arial" w:hAnsi="Arial" w:cs="Arial"/>
          <w:sz w:val="24"/>
          <w:szCs w:val="24"/>
        </w:rPr>
        <w:t xml:space="preserve"> provides</w:t>
      </w:r>
      <w:r w:rsidR="00481341" w:rsidRPr="00FB2EA8">
        <w:rPr>
          <w:rFonts w:ascii="Arial" w:hAnsi="Arial" w:cs="Arial"/>
          <w:sz w:val="24"/>
          <w:szCs w:val="24"/>
        </w:rPr>
        <w:t xml:space="preserve"> the detail of both </w:t>
      </w:r>
      <w:r w:rsidR="00481341">
        <w:rPr>
          <w:rFonts w:ascii="Arial" w:hAnsi="Arial" w:cs="Arial"/>
          <w:sz w:val="24"/>
          <w:szCs w:val="24"/>
        </w:rPr>
        <w:t>our reported 6</w:t>
      </w:r>
      <w:r w:rsidR="002523B3">
        <w:rPr>
          <w:rFonts w:ascii="Arial" w:hAnsi="Arial" w:cs="Arial"/>
          <w:sz w:val="24"/>
          <w:szCs w:val="24"/>
        </w:rPr>
        <w:t>-</w:t>
      </w:r>
      <w:r w:rsidR="00481341">
        <w:rPr>
          <w:rFonts w:ascii="Arial" w:hAnsi="Arial" w:cs="Arial"/>
          <w:sz w:val="24"/>
          <w:szCs w:val="24"/>
        </w:rPr>
        <w:t>year graduation rate as well as the adjusted graduation rate using NSC data.</w:t>
      </w:r>
      <w:r w:rsidR="00481341" w:rsidRPr="00FB2EA8">
        <w:rPr>
          <w:rFonts w:ascii="Arial" w:hAnsi="Arial" w:cs="Arial"/>
          <w:sz w:val="24"/>
          <w:szCs w:val="24"/>
        </w:rPr>
        <w:t xml:space="preserve">  </w:t>
      </w:r>
    </w:p>
    <w:p w:rsidR="00481341" w:rsidRPr="00FB2EA8" w:rsidRDefault="009F05FC" w:rsidP="00481341">
      <w:pPr>
        <w:jc w:val="center"/>
        <w:rPr>
          <w:rFonts w:ascii="Arial" w:hAnsi="Arial" w:cs="Arial"/>
          <w:b/>
          <w:sz w:val="24"/>
          <w:szCs w:val="24"/>
        </w:rPr>
      </w:pPr>
      <w:r>
        <w:rPr>
          <w:rFonts w:ascii="Arial" w:hAnsi="Arial" w:cs="Arial"/>
          <w:b/>
          <w:sz w:val="24"/>
          <w:szCs w:val="24"/>
        </w:rPr>
        <w:t>Graphic 4</w:t>
      </w:r>
      <w:r w:rsidR="00481341" w:rsidRPr="00FB2EA8">
        <w:rPr>
          <w:rFonts w:ascii="Arial" w:hAnsi="Arial" w:cs="Arial"/>
          <w:b/>
          <w:sz w:val="24"/>
          <w:szCs w:val="24"/>
        </w:rPr>
        <w:t>:  Cohort Completion Rates</w:t>
      </w:r>
    </w:p>
    <w:p w:rsidR="00481341" w:rsidRDefault="00481341" w:rsidP="00481341">
      <w:pPr>
        <w:jc w:val="center"/>
        <w:rPr>
          <w:rFonts w:ascii="Arial" w:hAnsi="Arial" w:cs="Arial"/>
          <w:sz w:val="24"/>
          <w:szCs w:val="24"/>
        </w:rPr>
      </w:pPr>
      <w:r w:rsidRPr="00F26961">
        <w:rPr>
          <w:noProof/>
          <w:szCs w:val="24"/>
        </w:rPr>
        <w:drawing>
          <wp:inline distT="0" distB="0" distL="0" distR="0">
            <wp:extent cx="6581775" cy="1020565"/>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6584833" cy="1021039"/>
                    </a:xfrm>
                    <a:prstGeom prst="rect">
                      <a:avLst/>
                    </a:prstGeom>
                    <a:noFill/>
                    <a:ln w="9525">
                      <a:noFill/>
                      <a:miter lim="800000"/>
                      <a:headEnd/>
                      <a:tailEnd/>
                    </a:ln>
                  </pic:spPr>
                </pic:pic>
              </a:graphicData>
            </a:graphic>
          </wp:inline>
        </w:drawing>
      </w:r>
    </w:p>
    <w:p w:rsidR="00481341" w:rsidRPr="00FB2EA8" w:rsidRDefault="00481341" w:rsidP="00481341">
      <w:pPr>
        <w:rPr>
          <w:rFonts w:ascii="Arial" w:hAnsi="Arial" w:cs="Arial"/>
          <w:sz w:val="24"/>
          <w:szCs w:val="24"/>
        </w:rPr>
      </w:pPr>
      <w:r>
        <w:rPr>
          <w:rFonts w:ascii="Arial" w:hAnsi="Arial" w:cs="Arial"/>
          <w:sz w:val="24"/>
          <w:szCs w:val="24"/>
        </w:rPr>
        <w:t>F</w:t>
      </w:r>
      <w:r w:rsidRPr="00FB2EA8">
        <w:rPr>
          <w:rFonts w:ascii="Arial" w:hAnsi="Arial" w:cs="Arial"/>
          <w:sz w:val="24"/>
          <w:szCs w:val="24"/>
        </w:rPr>
        <w:t>or the Fall 2005 cohort, the 6</w:t>
      </w:r>
      <w:r w:rsidR="002523B3">
        <w:rPr>
          <w:rFonts w:ascii="Arial" w:hAnsi="Arial" w:cs="Arial"/>
          <w:sz w:val="24"/>
          <w:szCs w:val="24"/>
        </w:rPr>
        <w:t>-</w:t>
      </w:r>
      <w:r>
        <w:rPr>
          <w:rFonts w:ascii="Arial" w:hAnsi="Arial" w:cs="Arial"/>
          <w:sz w:val="24"/>
          <w:szCs w:val="24"/>
        </w:rPr>
        <w:t>year graduation rate is final</w:t>
      </w:r>
      <w:r w:rsidRPr="00FB2EA8">
        <w:rPr>
          <w:rFonts w:ascii="Arial" w:hAnsi="Arial" w:cs="Arial"/>
          <w:sz w:val="24"/>
          <w:szCs w:val="24"/>
        </w:rPr>
        <w:t xml:space="preserve">.  The Fall 2006 cohort’s rate will </w:t>
      </w:r>
      <w:r>
        <w:rPr>
          <w:rFonts w:ascii="Arial" w:hAnsi="Arial" w:cs="Arial"/>
          <w:sz w:val="24"/>
          <w:szCs w:val="24"/>
        </w:rPr>
        <w:t>be finalized</w:t>
      </w:r>
      <w:r w:rsidRPr="00FB2EA8">
        <w:rPr>
          <w:rFonts w:ascii="Arial" w:hAnsi="Arial" w:cs="Arial"/>
          <w:sz w:val="24"/>
          <w:szCs w:val="24"/>
        </w:rPr>
        <w:t xml:space="preserve"> August 2012.  The Fall 2007 cohort’s rate will be finalized August 2013.  </w:t>
      </w:r>
    </w:p>
    <w:p w:rsidR="00554E78" w:rsidRDefault="002E44DC" w:rsidP="00684B73">
      <w:pPr>
        <w:rPr>
          <w:rFonts w:ascii="Arial" w:hAnsi="Arial" w:cs="Arial"/>
          <w:sz w:val="24"/>
          <w:szCs w:val="24"/>
        </w:rPr>
      </w:pPr>
      <w:r>
        <w:rPr>
          <w:rFonts w:ascii="Arial" w:hAnsi="Arial" w:cs="Arial"/>
          <w:sz w:val="24"/>
          <w:szCs w:val="24"/>
        </w:rPr>
        <w:t xml:space="preserve">As we continue to focus on improving our students’ success, </w:t>
      </w:r>
      <w:r w:rsidR="00161BC8">
        <w:rPr>
          <w:rFonts w:ascii="Arial" w:hAnsi="Arial" w:cs="Arial"/>
          <w:sz w:val="24"/>
          <w:szCs w:val="24"/>
        </w:rPr>
        <w:t xml:space="preserve">it will be useful to </w:t>
      </w:r>
      <w:r>
        <w:rPr>
          <w:rFonts w:ascii="Arial" w:hAnsi="Arial" w:cs="Arial"/>
          <w:sz w:val="24"/>
          <w:szCs w:val="24"/>
        </w:rPr>
        <w:t>better understand their patterns</w:t>
      </w:r>
      <w:r w:rsidR="00161BC8">
        <w:rPr>
          <w:rFonts w:ascii="Arial" w:hAnsi="Arial" w:cs="Arial"/>
          <w:sz w:val="24"/>
          <w:szCs w:val="24"/>
        </w:rPr>
        <w:t xml:space="preserve"> of </w:t>
      </w:r>
      <w:r>
        <w:rPr>
          <w:rFonts w:ascii="Arial" w:hAnsi="Arial" w:cs="Arial"/>
          <w:sz w:val="24"/>
          <w:szCs w:val="24"/>
        </w:rPr>
        <w:t>enrollment</w:t>
      </w:r>
      <w:r w:rsidR="00161BC8">
        <w:rPr>
          <w:rFonts w:ascii="Arial" w:hAnsi="Arial" w:cs="Arial"/>
          <w:sz w:val="24"/>
          <w:szCs w:val="24"/>
        </w:rPr>
        <w:t>.  As noted in the National Student Clearinghouse study, these patterns are becoming more complex nationwide.  “The results suggest that the linear view of college access and success that focuses on the initial institution attended often fails to address the realities on the ground” (Hossler, 2012, pg</w:t>
      </w:r>
      <w:r w:rsidR="002523B3">
        <w:rPr>
          <w:rFonts w:ascii="Arial" w:hAnsi="Arial" w:cs="Arial"/>
          <w:sz w:val="24"/>
          <w:szCs w:val="24"/>
        </w:rPr>
        <w:t>.</w:t>
      </w:r>
      <w:r w:rsidR="00161BC8">
        <w:rPr>
          <w:rFonts w:ascii="Arial" w:hAnsi="Arial" w:cs="Arial"/>
          <w:sz w:val="24"/>
          <w:szCs w:val="24"/>
        </w:rPr>
        <w:t xml:space="preserve"> 6)</w:t>
      </w:r>
      <w:r w:rsidR="002523B3">
        <w:rPr>
          <w:rFonts w:ascii="Arial" w:hAnsi="Arial" w:cs="Arial"/>
          <w:sz w:val="24"/>
          <w:szCs w:val="24"/>
        </w:rPr>
        <w:t>.</w:t>
      </w:r>
    </w:p>
    <w:p w:rsidR="00FB23E9" w:rsidRPr="007A18A4" w:rsidRDefault="00F91E08" w:rsidP="00760D4C">
      <w:pPr>
        <w:jc w:val="center"/>
        <w:rPr>
          <w:rFonts w:ascii="Arial" w:hAnsi="Arial" w:cs="Arial"/>
          <w:b/>
          <w:sz w:val="24"/>
          <w:szCs w:val="24"/>
        </w:rPr>
      </w:pPr>
      <w:r>
        <w:rPr>
          <w:rFonts w:ascii="Arial" w:hAnsi="Arial" w:cs="Arial"/>
          <w:b/>
          <w:sz w:val="24"/>
          <w:szCs w:val="24"/>
        </w:rPr>
        <w:br w:type="page"/>
      </w:r>
      <w:r w:rsidR="00FB23E9" w:rsidRPr="007A18A4">
        <w:rPr>
          <w:rFonts w:ascii="Arial" w:hAnsi="Arial" w:cs="Arial"/>
          <w:b/>
          <w:sz w:val="24"/>
          <w:szCs w:val="24"/>
        </w:rPr>
        <w:t>References</w:t>
      </w:r>
    </w:p>
    <w:p w:rsidR="00FB23E9" w:rsidRDefault="00487789" w:rsidP="00487789">
      <w:pPr>
        <w:ind w:left="720" w:hanging="720"/>
        <w:rPr>
          <w:rFonts w:ascii="Arial" w:hAnsi="Arial" w:cs="Arial"/>
          <w:i/>
          <w:sz w:val="24"/>
          <w:szCs w:val="24"/>
        </w:rPr>
      </w:pPr>
      <w:r>
        <w:rPr>
          <w:rFonts w:ascii="Arial" w:hAnsi="Arial" w:cs="Arial"/>
          <w:sz w:val="24"/>
          <w:szCs w:val="24"/>
        </w:rPr>
        <w:t>Hossler, D., Shapiro, D., Dundar, A., Ziskin, M., Chen, J., Zerquera, D., &amp; Torres, V.  (Feb</w:t>
      </w:r>
      <w:r w:rsidR="00F92A58">
        <w:rPr>
          <w:rFonts w:ascii="Arial" w:hAnsi="Arial" w:cs="Arial"/>
          <w:sz w:val="24"/>
          <w:szCs w:val="24"/>
        </w:rPr>
        <w:t>ruary 2012</w:t>
      </w:r>
      <w:r>
        <w:rPr>
          <w:rFonts w:ascii="Arial" w:hAnsi="Arial" w:cs="Arial"/>
          <w:sz w:val="24"/>
          <w:szCs w:val="24"/>
        </w:rPr>
        <w:t xml:space="preserve">).  </w:t>
      </w:r>
      <w:r w:rsidR="00F92A58" w:rsidRPr="00FB23E9">
        <w:rPr>
          <w:rFonts w:ascii="Arial" w:hAnsi="Arial" w:cs="Arial"/>
          <w:i/>
          <w:sz w:val="24"/>
          <w:szCs w:val="24"/>
        </w:rPr>
        <w:t>Transfer and Mobility:  A National View of Pre-Degree Student Movement in Postsecondary Institutions</w:t>
      </w:r>
      <w:r w:rsidR="00F92A58">
        <w:rPr>
          <w:rFonts w:ascii="Arial" w:hAnsi="Arial" w:cs="Arial"/>
          <w:i/>
          <w:sz w:val="24"/>
          <w:szCs w:val="24"/>
        </w:rPr>
        <w:t xml:space="preserve">.  </w:t>
      </w:r>
      <w:r w:rsidR="00FB23E9">
        <w:rPr>
          <w:rFonts w:ascii="Arial" w:hAnsi="Arial" w:cs="Arial"/>
          <w:sz w:val="24"/>
          <w:szCs w:val="24"/>
        </w:rPr>
        <w:t>National Student Clearinghouse</w:t>
      </w:r>
      <w:r>
        <w:rPr>
          <w:rFonts w:ascii="Arial" w:hAnsi="Arial" w:cs="Arial"/>
          <w:sz w:val="24"/>
          <w:szCs w:val="24"/>
        </w:rPr>
        <w:t xml:space="preserve"> Research Center </w:t>
      </w:r>
      <w:r w:rsidR="00FB23E9">
        <w:rPr>
          <w:rFonts w:ascii="Arial" w:hAnsi="Arial" w:cs="Arial"/>
          <w:sz w:val="24"/>
          <w:szCs w:val="24"/>
        </w:rPr>
        <w:t xml:space="preserve">and Indiana University.  </w:t>
      </w:r>
      <w:r w:rsidR="00F92A58">
        <w:rPr>
          <w:rFonts w:ascii="Arial" w:hAnsi="Arial" w:cs="Arial"/>
          <w:sz w:val="24"/>
          <w:szCs w:val="24"/>
        </w:rPr>
        <w:t xml:space="preserve">Herndon, VA.  </w:t>
      </w:r>
    </w:p>
    <w:p w:rsidR="00C268E9" w:rsidRPr="00C268E9" w:rsidRDefault="00C268E9">
      <w:pPr>
        <w:ind w:left="720" w:hanging="720"/>
        <w:rPr>
          <w:rFonts w:ascii="Arial" w:hAnsi="Arial" w:cs="Arial"/>
          <w:sz w:val="24"/>
          <w:szCs w:val="24"/>
        </w:rPr>
      </w:pPr>
      <w:r>
        <w:rPr>
          <w:rFonts w:ascii="Arial" w:hAnsi="Arial" w:cs="Arial"/>
          <w:i/>
          <w:sz w:val="24"/>
          <w:szCs w:val="24"/>
        </w:rPr>
        <w:t>How the Clearin</w:t>
      </w:r>
      <w:r w:rsidR="00753257">
        <w:rPr>
          <w:rFonts w:ascii="Arial" w:hAnsi="Arial" w:cs="Arial"/>
          <w:i/>
          <w:sz w:val="24"/>
          <w:szCs w:val="24"/>
        </w:rPr>
        <w:t xml:space="preserve">ghouse Can Help You (n.d.).  </w:t>
      </w:r>
      <w:r w:rsidRPr="00C268E9">
        <w:rPr>
          <w:rFonts w:ascii="Arial" w:hAnsi="Arial" w:cs="Arial"/>
          <w:sz w:val="24"/>
          <w:szCs w:val="24"/>
        </w:rPr>
        <w:t xml:space="preserve">National Student </w:t>
      </w:r>
      <w:r>
        <w:rPr>
          <w:rFonts w:ascii="Arial" w:hAnsi="Arial" w:cs="Arial"/>
          <w:sz w:val="24"/>
          <w:szCs w:val="24"/>
        </w:rPr>
        <w:t xml:space="preserve">Clearinghouse.  </w:t>
      </w:r>
      <w:r w:rsidRPr="00C268E9">
        <w:rPr>
          <w:rFonts w:ascii="Arial" w:hAnsi="Arial" w:cs="Arial"/>
          <w:sz w:val="24"/>
          <w:szCs w:val="24"/>
        </w:rPr>
        <w:t xml:space="preserve">Retrieved from </w:t>
      </w:r>
      <w:hyperlink r:id="rId13" w:history="1">
        <w:r w:rsidR="00753257" w:rsidRPr="00454095">
          <w:rPr>
            <w:rStyle w:val="Hyperlink"/>
            <w:rFonts w:ascii="Arial" w:hAnsi="Arial" w:cs="Arial"/>
            <w:sz w:val="24"/>
            <w:szCs w:val="24"/>
          </w:rPr>
          <w:t>http://www.studentclearinghouse.org/colleges/files/VSA_Handout.pdf</w:t>
        </w:r>
      </w:hyperlink>
      <w:r w:rsidR="00753257">
        <w:rPr>
          <w:rFonts w:ascii="Arial" w:hAnsi="Arial" w:cs="Arial"/>
          <w:sz w:val="24"/>
          <w:szCs w:val="24"/>
        </w:rPr>
        <w:t xml:space="preserve">  May 9th, 2012.  </w:t>
      </w:r>
    </w:p>
    <w:sectPr w:rsidR="00C268E9" w:rsidRPr="00C268E9" w:rsidSect="00305CEA">
      <w:headerReference w:type="default" r:id="rId14"/>
      <w:footerReference w:type="default" r:id="rId15"/>
      <w:pgSz w:w="12240" w:h="15840"/>
      <w:pgMar w:top="1440" w:right="1080" w:bottom="108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78" w:rsidRDefault="008A5278" w:rsidP="00EE33A6">
      <w:pPr>
        <w:spacing w:after="0" w:line="240" w:lineRule="auto"/>
      </w:pPr>
      <w:r>
        <w:separator/>
      </w:r>
    </w:p>
  </w:endnote>
  <w:endnote w:type="continuationSeparator" w:id="0">
    <w:p w:rsidR="008A5278" w:rsidRDefault="008A5278" w:rsidP="00EE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DC" w:rsidRDefault="002E44DC">
    <w:pPr>
      <w:pStyle w:val="Footer"/>
    </w:pPr>
    <w:r>
      <w:t>Institutional Research</w:t>
    </w:r>
    <w:r>
      <w:ptab w:relativeTo="margin" w:alignment="center" w:leader="none"/>
    </w:r>
    <w:r w:rsidR="00893CEC">
      <w:fldChar w:fldCharType="begin"/>
    </w:r>
    <w:r w:rsidR="00893CEC">
      <w:instrText xml:space="preserve"> PAGE  \* Arabic  \* MERGEFORMAT </w:instrText>
    </w:r>
    <w:r w:rsidR="00893CEC">
      <w:fldChar w:fldCharType="separate"/>
    </w:r>
    <w:r w:rsidR="00893CEC">
      <w:rPr>
        <w:noProof/>
      </w:rPr>
      <w:t>1</w:t>
    </w:r>
    <w:r w:rsidR="00893CEC">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78" w:rsidRDefault="008A5278" w:rsidP="00EE33A6">
      <w:pPr>
        <w:spacing w:after="0" w:line="240" w:lineRule="auto"/>
      </w:pPr>
      <w:r>
        <w:separator/>
      </w:r>
    </w:p>
  </w:footnote>
  <w:footnote w:type="continuationSeparator" w:id="0">
    <w:p w:rsidR="008A5278" w:rsidRDefault="008A5278" w:rsidP="00EE3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DC" w:rsidRDefault="002E44DC">
    <w:pPr>
      <w:pStyle w:val="Header"/>
    </w:pPr>
    <w:r>
      <w:t>U of R Scanner</w:t>
    </w:r>
    <w:r>
      <w:ptab w:relativeTo="margin" w:alignment="center" w:leader="none"/>
    </w:r>
    <w:r>
      <w:ptab w:relativeTo="margin" w:alignment="right" w:leader="none"/>
    </w:r>
    <w:r>
      <w:t>05/1</w:t>
    </w:r>
    <w:r w:rsidR="007C543D">
      <w:t>4</w:t>
    </w:r>
    <w: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684"/>
    <w:multiLevelType w:val="hybridMultilevel"/>
    <w:tmpl w:val="7436ADD0"/>
    <w:lvl w:ilvl="0" w:tplc="20C2293A">
      <w:start w:val="5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51555"/>
    <w:multiLevelType w:val="hybridMultilevel"/>
    <w:tmpl w:val="7F1CFC3C"/>
    <w:lvl w:ilvl="0" w:tplc="A8CE96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A3963"/>
    <w:multiLevelType w:val="hybridMultilevel"/>
    <w:tmpl w:val="E45896BA"/>
    <w:lvl w:ilvl="0" w:tplc="20C2293A">
      <w:start w:val="34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57D48"/>
    <w:multiLevelType w:val="hybridMultilevel"/>
    <w:tmpl w:val="FA3A25EC"/>
    <w:lvl w:ilvl="0" w:tplc="20C2293A">
      <w:start w:val="34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C1D2E"/>
    <w:multiLevelType w:val="hybridMultilevel"/>
    <w:tmpl w:val="30627ACC"/>
    <w:lvl w:ilvl="0" w:tplc="20C2293A">
      <w:start w:val="34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69254A"/>
    <w:multiLevelType w:val="hybridMultilevel"/>
    <w:tmpl w:val="75B2CD7E"/>
    <w:lvl w:ilvl="0" w:tplc="59A2EDA4">
      <w:start w:val="34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13302"/>
    <w:multiLevelType w:val="hybridMultilevel"/>
    <w:tmpl w:val="FD6A5604"/>
    <w:lvl w:ilvl="0" w:tplc="70DE8B5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2D"/>
    <w:rsid w:val="00004D0A"/>
    <w:rsid w:val="0002250B"/>
    <w:rsid w:val="00022927"/>
    <w:rsid w:val="000321D3"/>
    <w:rsid w:val="00033E2F"/>
    <w:rsid w:val="00041D64"/>
    <w:rsid w:val="00045E97"/>
    <w:rsid w:val="00066B44"/>
    <w:rsid w:val="00087427"/>
    <w:rsid w:val="000B5EA5"/>
    <w:rsid w:val="000C7E70"/>
    <w:rsid w:val="000D545D"/>
    <w:rsid w:val="000E2009"/>
    <w:rsid w:val="00103C82"/>
    <w:rsid w:val="001060C0"/>
    <w:rsid w:val="001218A2"/>
    <w:rsid w:val="0016122D"/>
    <w:rsid w:val="00161BC8"/>
    <w:rsid w:val="001627CB"/>
    <w:rsid w:val="001B38C5"/>
    <w:rsid w:val="001D3CE1"/>
    <w:rsid w:val="001F12A4"/>
    <w:rsid w:val="00236FE7"/>
    <w:rsid w:val="00241687"/>
    <w:rsid w:val="002523B3"/>
    <w:rsid w:val="00265E15"/>
    <w:rsid w:val="002A7BBD"/>
    <w:rsid w:val="002E3D94"/>
    <w:rsid w:val="002E44DC"/>
    <w:rsid w:val="002F0FF1"/>
    <w:rsid w:val="00305CEA"/>
    <w:rsid w:val="00350BBC"/>
    <w:rsid w:val="00361735"/>
    <w:rsid w:val="003754C5"/>
    <w:rsid w:val="003A1863"/>
    <w:rsid w:val="003A308B"/>
    <w:rsid w:val="003B3D56"/>
    <w:rsid w:val="003B5097"/>
    <w:rsid w:val="003B7BFC"/>
    <w:rsid w:val="003C4C2F"/>
    <w:rsid w:val="003D3EB8"/>
    <w:rsid w:val="003D6271"/>
    <w:rsid w:val="003E67C8"/>
    <w:rsid w:val="004124F3"/>
    <w:rsid w:val="00426EBA"/>
    <w:rsid w:val="004316EA"/>
    <w:rsid w:val="00431CD7"/>
    <w:rsid w:val="00461878"/>
    <w:rsid w:val="00480E0A"/>
    <w:rsid w:val="00481341"/>
    <w:rsid w:val="00481E5F"/>
    <w:rsid w:val="00487789"/>
    <w:rsid w:val="004B0E00"/>
    <w:rsid w:val="004B470C"/>
    <w:rsid w:val="004C2AD4"/>
    <w:rsid w:val="004C3945"/>
    <w:rsid w:val="004F354D"/>
    <w:rsid w:val="005216C9"/>
    <w:rsid w:val="00554E78"/>
    <w:rsid w:val="005A0168"/>
    <w:rsid w:val="005D093F"/>
    <w:rsid w:val="005D1726"/>
    <w:rsid w:val="005F0625"/>
    <w:rsid w:val="006161F9"/>
    <w:rsid w:val="00624799"/>
    <w:rsid w:val="00637893"/>
    <w:rsid w:val="00641B3C"/>
    <w:rsid w:val="006461DF"/>
    <w:rsid w:val="00670BEF"/>
    <w:rsid w:val="00684B73"/>
    <w:rsid w:val="006A6E00"/>
    <w:rsid w:val="006C2FC8"/>
    <w:rsid w:val="006E4EA8"/>
    <w:rsid w:val="007009EE"/>
    <w:rsid w:val="00722058"/>
    <w:rsid w:val="007361E2"/>
    <w:rsid w:val="00741133"/>
    <w:rsid w:val="00744A12"/>
    <w:rsid w:val="007472EA"/>
    <w:rsid w:val="00753257"/>
    <w:rsid w:val="00760D4C"/>
    <w:rsid w:val="00762492"/>
    <w:rsid w:val="00763CB2"/>
    <w:rsid w:val="007742F9"/>
    <w:rsid w:val="0078397C"/>
    <w:rsid w:val="007A18A4"/>
    <w:rsid w:val="007B33C4"/>
    <w:rsid w:val="007C543D"/>
    <w:rsid w:val="007D3B3D"/>
    <w:rsid w:val="007F084D"/>
    <w:rsid w:val="00812AC4"/>
    <w:rsid w:val="00837D26"/>
    <w:rsid w:val="0085137D"/>
    <w:rsid w:val="00857028"/>
    <w:rsid w:val="00881EB2"/>
    <w:rsid w:val="00891488"/>
    <w:rsid w:val="00893CEC"/>
    <w:rsid w:val="00897C91"/>
    <w:rsid w:val="008A5278"/>
    <w:rsid w:val="008B17A6"/>
    <w:rsid w:val="008F12E6"/>
    <w:rsid w:val="00943243"/>
    <w:rsid w:val="009563D3"/>
    <w:rsid w:val="009A058A"/>
    <w:rsid w:val="009D13F0"/>
    <w:rsid w:val="009D5E73"/>
    <w:rsid w:val="009F05FC"/>
    <w:rsid w:val="00A007EF"/>
    <w:rsid w:val="00A21ADA"/>
    <w:rsid w:val="00A40945"/>
    <w:rsid w:val="00A5081E"/>
    <w:rsid w:val="00A6162A"/>
    <w:rsid w:val="00A76B9D"/>
    <w:rsid w:val="00A83190"/>
    <w:rsid w:val="00A85D73"/>
    <w:rsid w:val="00AA0F8F"/>
    <w:rsid w:val="00AD1D0D"/>
    <w:rsid w:val="00AD439D"/>
    <w:rsid w:val="00AD6D93"/>
    <w:rsid w:val="00AF79F6"/>
    <w:rsid w:val="00B02FC6"/>
    <w:rsid w:val="00B15573"/>
    <w:rsid w:val="00B42605"/>
    <w:rsid w:val="00B554AA"/>
    <w:rsid w:val="00B56F48"/>
    <w:rsid w:val="00B77FA3"/>
    <w:rsid w:val="00B77FC6"/>
    <w:rsid w:val="00BB0FF3"/>
    <w:rsid w:val="00BB52A2"/>
    <w:rsid w:val="00BC446A"/>
    <w:rsid w:val="00BE2DF9"/>
    <w:rsid w:val="00C11A08"/>
    <w:rsid w:val="00C16CEF"/>
    <w:rsid w:val="00C268E9"/>
    <w:rsid w:val="00C9656D"/>
    <w:rsid w:val="00CB7101"/>
    <w:rsid w:val="00CC6252"/>
    <w:rsid w:val="00CD3E0A"/>
    <w:rsid w:val="00CD65B8"/>
    <w:rsid w:val="00CE52CB"/>
    <w:rsid w:val="00CE62C0"/>
    <w:rsid w:val="00CF35B2"/>
    <w:rsid w:val="00D05D55"/>
    <w:rsid w:val="00D1472F"/>
    <w:rsid w:val="00D25824"/>
    <w:rsid w:val="00D47008"/>
    <w:rsid w:val="00D8672D"/>
    <w:rsid w:val="00DC2AAF"/>
    <w:rsid w:val="00DD0642"/>
    <w:rsid w:val="00DF787E"/>
    <w:rsid w:val="00E068B1"/>
    <w:rsid w:val="00E61C69"/>
    <w:rsid w:val="00E96ADF"/>
    <w:rsid w:val="00EB28A0"/>
    <w:rsid w:val="00ED6C52"/>
    <w:rsid w:val="00EE0295"/>
    <w:rsid w:val="00EE33A6"/>
    <w:rsid w:val="00EF1434"/>
    <w:rsid w:val="00EF6DB2"/>
    <w:rsid w:val="00F078FB"/>
    <w:rsid w:val="00F11411"/>
    <w:rsid w:val="00F26961"/>
    <w:rsid w:val="00F50A1E"/>
    <w:rsid w:val="00F805C8"/>
    <w:rsid w:val="00F91E08"/>
    <w:rsid w:val="00F92A58"/>
    <w:rsid w:val="00FA2A09"/>
    <w:rsid w:val="00FA3EC0"/>
    <w:rsid w:val="00FB23E9"/>
    <w:rsid w:val="00FB2EA8"/>
    <w:rsid w:val="00FB5CC1"/>
    <w:rsid w:val="00FB6C8D"/>
    <w:rsid w:val="00FD0DDA"/>
    <w:rsid w:val="00FD5C05"/>
    <w:rsid w:val="00FF2CBA"/>
    <w:rsid w:val="00FF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A6"/>
  </w:style>
  <w:style w:type="paragraph" w:styleId="Footer">
    <w:name w:val="footer"/>
    <w:basedOn w:val="Normal"/>
    <w:link w:val="FooterChar"/>
    <w:uiPriority w:val="99"/>
    <w:unhideWhenUsed/>
    <w:rsid w:val="00EE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A6"/>
  </w:style>
  <w:style w:type="paragraph" w:styleId="BalloonText">
    <w:name w:val="Balloon Text"/>
    <w:basedOn w:val="Normal"/>
    <w:link w:val="BalloonTextChar"/>
    <w:uiPriority w:val="99"/>
    <w:semiHidden/>
    <w:unhideWhenUsed/>
    <w:rsid w:val="00EE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3A6"/>
    <w:rPr>
      <w:rFonts w:ascii="Tahoma" w:hAnsi="Tahoma" w:cs="Tahoma"/>
      <w:sz w:val="16"/>
      <w:szCs w:val="16"/>
    </w:rPr>
  </w:style>
  <w:style w:type="paragraph" w:styleId="ListParagraph">
    <w:name w:val="List Paragraph"/>
    <w:basedOn w:val="Normal"/>
    <w:uiPriority w:val="34"/>
    <w:qFormat/>
    <w:rsid w:val="00066B44"/>
    <w:pPr>
      <w:ind w:left="720"/>
      <w:contextualSpacing/>
    </w:pPr>
  </w:style>
  <w:style w:type="character" w:styleId="Hyperlink">
    <w:name w:val="Hyperlink"/>
    <w:basedOn w:val="DefaultParagraphFont"/>
    <w:uiPriority w:val="99"/>
    <w:unhideWhenUsed/>
    <w:rsid w:val="00753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A6"/>
  </w:style>
  <w:style w:type="paragraph" w:styleId="Footer">
    <w:name w:val="footer"/>
    <w:basedOn w:val="Normal"/>
    <w:link w:val="FooterChar"/>
    <w:uiPriority w:val="99"/>
    <w:unhideWhenUsed/>
    <w:rsid w:val="00EE3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A6"/>
  </w:style>
  <w:style w:type="paragraph" w:styleId="BalloonText">
    <w:name w:val="Balloon Text"/>
    <w:basedOn w:val="Normal"/>
    <w:link w:val="BalloonTextChar"/>
    <w:uiPriority w:val="99"/>
    <w:semiHidden/>
    <w:unhideWhenUsed/>
    <w:rsid w:val="00EE3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3A6"/>
    <w:rPr>
      <w:rFonts w:ascii="Tahoma" w:hAnsi="Tahoma" w:cs="Tahoma"/>
      <w:sz w:val="16"/>
      <w:szCs w:val="16"/>
    </w:rPr>
  </w:style>
  <w:style w:type="paragraph" w:styleId="ListParagraph">
    <w:name w:val="List Paragraph"/>
    <w:basedOn w:val="Normal"/>
    <w:uiPriority w:val="34"/>
    <w:qFormat/>
    <w:rsid w:val="00066B44"/>
    <w:pPr>
      <w:ind w:left="720"/>
      <w:contextualSpacing/>
    </w:pPr>
  </w:style>
  <w:style w:type="character" w:styleId="Hyperlink">
    <w:name w:val="Hyperlink"/>
    <w:basedOn w:val="DefaultParagraphFont"/>
    <w:uiPriority w:val="99"/>
    <w:unhideWhenUsed/>
    <w:rsid w:val="00753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10317">
      <w:bodyDiv w:val="1"/>
      <w:marLeft w:val="0"/>
      <w:marRight w:val="0"/>
      <w:marTop w:val="0"/>
      <w:marBottom w:val="0"/>
      <w:divBdr>
        <w:top w:val="none" w:sz="0" w:space="0" w:color="auto"/>
        <w:left w:val="none" w:sz="0" w:space="0" w:color="auto"/>
        <w:bottom w:val="none" w:sz="0" w:space="0" w:color="auto"/>
        <w:right w:val="none" w:sz="0" w:space="0" w:color="auto"/>
      </w:divBdr>
    </w:div>
    <w:div w:id="85931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udentclearinghouse.org/colleges/files/VSA_Handout.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462F-752B-476A-A04F-FA71F257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Wendy McEwen</cp:lastModifiedBy>
  <cp:revision>2</cp:revision>
  <cp:lastPrinted>2011-10-25T16:57:00Z</cp:lastPrinted>
  <dcterms:created xsi:type="dcterms:W3CDTF">2014-06-05T16:51:00Z</dcterms:created>
  <dcterms:modified xsi:type="dcterms:W3CDTF">2014-06-05T16:51:00Z</dcterms:modified>
</cp:coreProperties>
</file>